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9F58" w14:textId="77777777" w:rsidR="00A62C3C" w:rsidRDefault="00A62C3C">
      <w:pPr>
        <w:rPr>
          <w:b/>
          <w:sz w:val="32"/>
          <w:szCs w:val="32"/>
        </w:rPr>
      </w:pPr>
      <w:bookmarkStart w:id="0" w:name="_Toc121324924"/>
    </w:p>
    <w:p w14:paraId="4D3B3330" w14:textId="77777777" w:rsidR="00A62C3C" w:rsidRDefault="00A62C3C">
      <w:pPr>
        <w:rPr>
          <w:b/>
          <w:sz w:val="32"/>
          <w:szCs w:val="32"/>
        </w:rPr>
      </w:pPr>
    </w:p>
    <w:p w14:paraId="7779D0BA" w14:textId="77777777" w:rsidR="00A62C3C" w:rsidRDefault="00A62C3C" w:rsidP="00A62C3C">
      <w:pPr>
        <w:jc w:val="center"/>
        <w:rPr>
          <w:b/>
          <w:sz w:val="36"/>
          <w:szCs w:val="36"/>
        </w:rPr>
      </w:pPr>
    </w:p>
    <w:p w14:paraId="6BB5B03B" w14:textId="77777777" w:rsidR="00A276A7" w:rsidRDefault="00A62C3C" w:rsidP="00A62C3C">
      <w:pPr>
        <w:jc w:val="center"/>
        <w:rPr>
          <w:b/>
          <w:sz w:val="36"/>
          <w:szCs w:val="36"/>
        </w:rPr>
      </w:pPr>
      <w:r w:rsidRPr="00A62C3C">
        <w:rPr>
          <w:b/>
          <w:sz w:val="36"/>
          <w:szCs w:val="36"/>
        </w:rPr>
        <w:t xml:space="preserve">Условия участия и методика рэнкингов </w:t>
      </w:r>
    </w:p>
    <w:p w14:paraId="0288B7B5" w14:textId="7ABE259B" w:rsidR="00A62C3C" w:rsidRPr="00A62C3C" w:rsidRDefault="00A276A7" w:rsidP="00A62C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«Аутсорсинг учётных функций»</w:t>
      </w:r>
    </w:p>
    <w:p w14:paraId="38D935F6" w14:textId="317FAB3B" w:rsidR="00A62C3C" w:rsidRDefault="00A62C3C">
      <w:pPr>
        <w:rPr>
          <w:b/>
          <w:sz w:val="32"/>
          <w:szCs w:val="32"/>
        </w:rPr>
      </w:pPr>
    </w:p>
    <w:p w14:paraId="2DF3219E" w14:textId="29BC6EBC" w:rsidR="00A62C3C" w:rsidRDefault="00A62C3C" w:rsidP="00A62C3C">
      <w:pPr>
        <w:rPr>
          <w:sz w:val="32"/>
          <w:szCs w:val="32"/>
        </w:rPr>
      </w:pPr>
    </w:p>
    <w:p w14:paraId="3CF0D878" w14:textId="6CAC5430" w:rsidR="0010655B" w:rsidRDefault="0010655B" w:rsidP="00A62C3C">
      <w:pPr>
        <w:rPr>
          <w:sz w:val="32"/>
          <w:szCs w:val="32"/>
        </w:rPr>
      </w:pPr>
    </w:p>
    <w:p w14:paraId="2A26B737" w14:textId="2A4F8389" w:rsidR="0010655B" w:rsidRDefault="0010655B" w:rsidP="00A62C3C">
      <w:pPr>
        <w:rPr>
          <w:sz w:val="32"/>
          <w:szCs w:val="32"/>
        </w:rPr>
      </w:pPr>
    </w:p>
    <w:p w14:paraId="4775EE58" w14:textId="77777777" w:rsidR="0010655B" w:rsidRDefault="0010655B" w:rsidP="00A62C3C">
      <w:pPr>
        <w:rPr>
          <w:sz w:val="32"/>
          <w:szCs w:val="32"/>
        </w:rPr>
      </w:pPr>
    </w:p>
    <w:p w14:paraId="5B607766" w14:textId="77777777" w:rsidR="0010655B" w:rsidRPr="00A62C3C" w:rsidRDefault="0010655B" w:rsidP="00A62C3C">
      <w:pPr>
        <w:rPr>
          <w:sz w:val="32"/>
          <w:szCs w:val="32"/>
        </w:rPr>
      </w:pPr>
    </w:p>
    <w:p w14:paraId="635D6C8F" w14:textId="631AD8A4" w:rsidR="00A62C3C" w:rsidRPr="00A62C3C" w:rsidRDefault="00A62C3C" w:rsidP="00A62C3C">
      <w:pPr>
        <w:rPr>
          <w:sz w:val="32"/>
          <w:szCs w:val="32"/>
        </w:rPr>
      </w:pPr>
      <w:r w:rsidRPr="00A62C3C">
        <w:rPr>
          <w:sz w:val="32"/>
          <w:szCs w:val="32"/>
        </w:rPr>
        <w:t>О</w:t>
      </w:r>
      <w:r>
        <w:rPr>
          <w:sz w:val="32"/>
          <w:szCs w:val="32"/>
        </w:rPr>
        <w:t xml:space="preserve"> проекте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62C3C">
        <w:rPr>
          <w:sz w:val="32"/>
          <w:szCs w:val="32"/>
        </w:rPr>
        <w:tab/>
      </w:r>
      <w:r w:rsidRPr="00A62C3C">
        <w:rPr>
          <w:sz w:val="32"/>
          <w:szCs w:val="32"/>
        </w:rPr>
        <w:tab/>
      </w:r>
      <w:r w:rsidRPr="00A62C3C">
        <w:rPr>
          <w:sz w:val="32"/>
          <w:szCs w:val="32"/>
        </w:rPr>
        <w:tab/>
      </w:r>
      <w:r w:rsidRPr="00A62C3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655B">
        <w:rPr>
          <w:sz w:val="32"/>
          <w:szCs w:val="32"/>
        </w:rPr>
        <w:tab/>
      </w:r>
      <w:r w:rsidR="0010655B">
        <w:rPr>
          <w:sz w:val="32"/>
          <w:szCs w:val="32"/>
        </w:rPr>
        <w:tab/>
      </w:r>
      <w:r w:rsidR="0010655B">
        <w:rPr>
          <w:sz w:val="32"/>
          <w:szCs w:val="32"/>
        </w:rPr>
        <w:tab/>
        <w:t xml:space="preserve">стр. </w:t>
      </w:r>
      <w:r w:rsidRPr="00A62C3C">
        <w:rPr>
          <w:sz w:val="32"/>
          <w:szCs w:val="32"/>
        </w:rPr>
        <w:t>2</w:t>
      </w:r>
    </w:p>
    <w:p w14:paraId="207AB452" w14:textId="5009E9F7" w:rsidR="00A62C3C" w:rsidRPr="00A62C3C" w:rsidRDefault="003C33AB" w:rsidP="00A62C3C">
      <w:pPr>
        <w:rPr>
          <w:sz w:val="32"/>
          <w:szCs w:val="32"/>
        </w:rPr>
      </w:pPr>
      <w:r w:rsidRPr="003C33AB">
        <w:rPr>
          <w:sz w:val="32"/>
          <w:szCs w:val="32"/>
        </w:rPr>
        <w:t>Рэнкинги «Аутсорсинг учётных функций»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2C3C">
        <w:rPr>
          <w:sz w:val="32"/>
          <w:szCs w:val="32"/>
        </w:rPr>
        <w:tab/>
      </w:r>
      <w:r w:rsidR="0010655B">
        <w:rPr>
          <w:sz w:val="32"/>
          <w:szCs w:val="32"/>
        </w:rPr>
        <w:t>стр. 2</w:t>
      </w:r>
    </w:p>
    <w:p w14:paraId="1E6478B8" w14:textId="65606C5F" w:rsidR="00A62C3C" w:rsidRPr="00A62C3C" w:rsidRDefault="00A62C3C" w:rsidP="00A62C3C">
      <w:pPr>
        <w:rPr>
          <w:sz w:val="32"/>
          <w:szCs w:val="32"/>
        </w:rPr>
      </w:pPr>
      <w:r w:rsidRPr="00A62C3C">
        <w:rPr>
          <w:sz w:val="32"/>
          <w:szCs w:val="32"/>
        </w:rPr>
        <w:t>Консолидированная информация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655B">
        <w:rPr>
          <w:sz w:val="32"/>
          <w:szCs w:val="32"/>
        </w:rPr>
        <w:t>стр. 4</w:t>
      </w:r>
    </w:p>
    <w:p w14:paraId="09D8B4C7" w14:textId="2FA3DA60" w:rsidR="00A62C3C" w:rsidRPr="00A62C3C" w:rsidRDefault="00A62C3C" w:rsidP="00A62C3C">
      <w:pPr>
        <w:rPr>
          <w:sz w:val="32"/>
          <w:szCs w:val="32"/>
        </w:rPr>
      </w:pPr>
      <w:r w:rsidRPr="00A62C3C">
        <w:rPr>
          <w:sz w:val="32"/>
          <w:szCs w:val="32"/>
        </w:rPr>
        <w:t>Определения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655B">
        <w:rPr>
          <w:sz w:val="32"/>
          <w:szCs w:val="32"/>
        </w:rPr>
        <w:t>стр. 5</w:t>
      </w:r>
    </w:p>
    <w:p w14:paraId="2F3B0B44" w14:textId="77777777" w:rsidR="00A62C3C" w:rsidRDefault="00A62C3C">
      <w:pPr>
        <w:rPr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10FC144" w14:textId="2DDA2D09" w:rsidR="0092038C" w:rsidRPr="00B35A0A" w:rsidRDefault="00EB6688" w:rsidP="00EB6688">
      <w:pPr>
        <w:pStyle w:val="2"/>
        <w:shd w:val="clear" w:color="auto" w:fill="BFBFBF" w:themeFill="background1" w:themeFillShade="BF"/>
        <w:jc w:val="center"/>
        <w:rPr>
          <w:sz w:val="24"/>
          <w:szCs w:val="24"/>
        </w:rPr>
      </w:pPr>
      <w:r>
        <w:rPr>
          <w:b w:val="0"/>
          <w:sz w:val="32"/>
          <w:szCs w:val="32"/>
        </w:rPr>
        <w:lastRenderedPageBreak/>
        <w:t>О</w:t>
      </w:r>
      <w:r w:rsidR="00A62C3C">
        <w:rPr>
          <w:b w:val="0"/>
          <w:sz w:val="32"/>
          <w:szCs w:val="32"/>
        </w:rPr>
        <w:t xml:space="preserve"> проекте</w:t>
      </w:r>
      <w:bookmarkEnd w:id="0"/>
    </w:p>
    <w:p w14:paraId="415D5725" w14:textId="58FEB668" w:rsidR="003C33AB" w:rsidRP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C33AB">
        <w:rPr>
          <w:sz w:val="24"/>
          <w:szCs w:val="24"/>
        </w:rPr>
        <w:t xml:space="preserve">Ежегодно в рамках комплексного аналитического проекта </w:t>
      </w:r>
      <w:r w:rsidRPr="00DE117B">
        <w:rPr>
          <w:sz w:val="24"/>
          <w:szCs w:val="24"/>
        </w:rPr>
        <w:t>«Российский аудит и консалтинг»</w:t>
      </w:r>
      <w:r w:rsidRPr="003C33AB">
        <w:rPr>
          <w:sz w:val="24"/>
          <w:szCs w:val="24"/>
        </w:rPr>
        <w:t xml:space="preserve"> рейтинговое агентство RAEX (</w:t>
      </w:r>
      <w:r w:rsidR="00AC1393">
        <w:rPr>
          <w:sz w:val="24"/>
          <w:szCs w:val="24"/>
        </w:rPr>
        <w:t>«</w:t>
      </w:r>
      <w:r w:rsidRPr="003C33AB">
        <w:rPr>
          <w:sz w:val="24"/>
          <w:szCs w:val="24"/>
        </w:rPr>
        <w:t>РАЭКС-Аналитика</w:t>
      </w:r>
      <w:r w:rsidR="00AC1393">
        <w:rPr>
          <w:sz w:val="24"/>
          <w:szCs w:val="24"/>
        </w:rPr>
        <w:t>»</w:t>
      </w:r>
      <w:r w:rsidRPr="003C33AB">
        <w:rPr>
          <w:sz w:val="24"/>
          <w:szCs w:val="24"/>
        </w:rPr>
        <w:t xml:space="preserve">) составляет </w:t>
      </w:r>
      <w:r w:rsidRPr="00DE117B">
        <w:rPr>
          <w:b/>
          <w:sz w:val="24"/>
          <w:szCs w:val="24"/>
        </w:rPr>
        <w:t>рэнкинги крупнейших компаний и групп в области аутсорсинга учётных функций</w:t>
      </w:r>
      <w:r w:rsidRPr="003C33AB">
        <w:rPr>
          <w:sz w:val="24"/>
          <w:szCs w:val="24"/>
        </w:rPr>
        <w:t xml:space="preserve">. Цель рэнкингов </w:t>
      </w:r>
      <w:hyperlink r:id="rId8" w:history="1">
        <w:r w:rsidRPr="003C33AB">
          <w:rPr>
            <w:color w:val="0000FF"/>
            <w:sz w:val="24"/>
            <w:szCs w:val="24"/>
            <w:u w:val="single"/>
          </w:rPr>
          <w:t>«Аутсорсинг учётных функций»</w:t>
        </w:r>
      </w:hyperlink>
      <w:r w:rsidRPr="003C33AB">
        <w:rPr>
          <w:sz w:val="24"/>
          <w:szCs w:val="24"/>
        </w:rPr>
        <w:t xml:space="preserve"> – обозначить ведущих представителей сферы аутсорсинга финансовых и кадровых бизнес-процессов.</w:t>
      </w:r>
    </w:p>
    <w:p w14:paraId="34E4ECEA" w14:textId="3D178A89" w:rsidR="003C33AB" w:rsidRP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3013173" w14:textId="55494AA1" w:rsid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C33AB">
        <w:rPr>
          <w:sz w:val="24"/>
          <w:szCs w:val="24"/>
        </w:rPr>
        <w:t>Основой рэнкингов являются сведения, предоставленные его участниками и проверенные организатором рэнкингов. Верификация сведений проводится организатором по официальным статистическим формам (форма №</w:t>
      </w:r>
      <w:r w:rsidR="00573BD4">
        <w:rPr>
          <w:sz w:val="24"/>
          <w:szCs w:val="24"/>
        </w:rPr>
        <w:t xml:space="preserve"> </w:t>
      </w:r>
      <w:r w:rsidRPr="003C33AB">
        <w:rPr>
          <w:sz w:val="24"/>
          <w:szCs w:val="24"/>
        </w:rPr>
        <w:t>2 бухгалтерской отчётности или налоговая декларация, форма расчётов по страховым взносам) и источникам проверки информации (</w:t>
      </w:r>
      <w:hyperlink r:id="rId9" w:history="1">
        <w:r w:rsidRPr="003C33AB">
          <w:rPr>
            <w:rStyle w:val="a9"/>
            <w:sz w:val="24"/>
            <w:szCs w:val="24"/>
          </w:rPr>
          <w:t>СПАРК-Интерфакс</w:t>
        </w:r>
      </w:hyperlink>
      <w:r w:rsidRPr="003C33AB">
        <w:rPr>
          <w:sz w:val="24"/>
          <w:szCs w:val="24"/>
        </w:rPr>
        <w:t xml:space="preserve">, </w:t>
      </w:r>
      <w:hyperlink r:id="rId10" w:history="1">
        <w:r w:rsidRPr="003C33AB">
          <w:rPr>
            <w:rStyle w:val="a9"/>
            <w:sz w:val="24"/>
            <w:szCs w:val="24"/>
          </w:rPr>
          <w:t>Ресурс БФО</w:t>
        </w:r>
      </w:hyperlink>
      <w:r w:rsidRPr="003C33AB">
        <w:rPr>
          <w:sz w:val="24"/>
          <w:szCs w:val="24"/>
        </w:rPr>
        <w:t>). В рэнкинг не принимаются сведения, противоречащие его принципам и методике. В рэнкингах участвуют организации, зарегистрированные на территории РФ.</w:t>
      </w:r>
    </w:p>
    <w:p w14:paraId="4F3EC5CC" w14:textId="1DAA5159" w:rsidR="00DE117B" w:rsidRDefault="00DE117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9FF72C3" w14:textId="76C3517C" w:rsidR="00DE117B" w:rsidRPr="00DE117B" w:rsidRDefault="00DE117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E117B">
        <w:rPr>
          <w:sz w:val="24"/>
          <w:szCs w:val="24"/>
        </w:rPr>
        <w:t>В рамках рэнкингов к аутсорсингу функций учёта относ</w:t>
      </w:r>
      <w:r w:rsidR="00AC1393">
        <w:rPr>
          <w:sz w:val="24"/>
          <w:szCs w:val="24"/>
        </w:rPr>
        <w:t>я</w:t>
      </w:r>
      <w:r w:rsidRPr="00DE117B">
        <w:rPr>
          <w:sz w:val="24"/>
          <w:szCs w:val="24"/>
        </w:rPr>
        <w:t>тся: ведение всего бухгалтерского учёта клиентской компании, включая постановку и (или) восстановление на начальном этапе, а также частичное ведение бухгалтерского учёта по отдельным объектам и (или) участкам учёта; ведение отдельных участков учёта (расчёт зарплаты, расчёты с подотчётными лицами, поставщиками); составление на регулярной основе бухгалтерской и налоговой отчётности по российским стандартам бухгалтерского учёта, а также финансовой отчётности по МСФО; кадровое делопроизводство и кадровый учёт.</w:t>
      </w:r>
    </w:p>
    <w:p w14:paraId="6806A8A3" w14:textId="77777777" w:rsidR="003C33AB" w:rsidRP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6DB4CB8E" w14:textId="77777777" w:rsidR="003C33AB" w:rsidRP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C33AB">
        <w:rPr>
          <w:sz w:val="24"/>
          <w:szCs w:val="24"/>
        </w:rPr>
        <w:t xml:space="preserve">Для участия в рэнкингах нужно заполнить </w:t>
      </w:r>
      <w:r w:rsidRPr="003C33AB">
        <w:rPr>
          <w:b/>
          <w:sz w:val="24"/>
          <w:szCs w:val="24"/>
        </w:rPr>
        <w:t>электронную анкету</w:t>
      </w:r>
      <w:r w:rsidRPr="003C33AB">
        <w:rPr>
          <w:sz w:val="24"/>
          <w:szCs w:val="24"/>
        </w:rPr>
        <w:t xml:space="preserve">, заверить (подпись руководителя и печать организации) бланк подтверждения (последний лист из анкеты). Для группы компаний бланк заверяется печатью головной организации и подписью её руководителя. </w:t>
      </w:r>
      <w:r w:rsidRPr="0010655B">
        <w:rPr>
          <w:b/>
          <w:sz w:val="24"/>
          <w:szCs w:val="24"/>
        </w:rPr>
        <w:t>Порядок заполнения анкеты представлен в файле с инструкцией</w:t>
      </w:r>
      <w:r w:rsidRPr="003C33AB">
        <w:rPr>
          <w:sz w:val="24"/>
          <w:szCs w:val="24"/>
        </w:rPr>
        <w:t xml:space="preserve">. </w:t>
      </w:r>
    </w:p>
    <w:p w14:paraId="09937B9D" w14:textId="77777777" w:rsidR="003C33AB" w:rsidRP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D618D4C" w14:textId="3E19FB6E" w:rsidR="003C33AB" w:rsidRP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C33AB">
        <w:rPr>
          <w:sz w:val="24"/>
          <w:szCs w:val="24"/>
        </w:rPr>
        <w:t xml:space="preserve">Заполненную анкету, а также скан-копию бланка подтверждения нужно прислать по адресу </w:t>
      </w:r>
      <w:hyperlink r:id="rId11" w:history="1">
        <w:r w:rsidRPr="003C33AB">
          <w:rPr>
            <w:rStyle w:val="a9"/>
            <w:sz w:val="24"/>
            <w:szCs w:val="24"/>
            <w:lang w:val="en-US"/>
          </w:rPr>
          <w:t>consulting</w:t>
        </w:r>
        <w:r w:rsidRPr="003C33AB">
          <w:rPr>
            <w:rStyle w:val="a9"/>
            <w:sz w:val="24"/>
            <w:szCs w:val="24"/>
          </w:rPr>
          <w:t>@raex-</w:t>
        </w:r>
        <w:r w:rsidRPr="003C33AB">
          <w:rPr>
            <w:rStyle w:val="a9"/>
            <w:sz w:val="24"/>
            <w:szCs w:val="24"/>
            <w:lang w:val="en-US"/>
          </w:rPr>
          <w:t>a</w:t>
        </w:r>
        <w:r w:rsidRPr="003C33AB">
          <w:rPr>
            <w:rStyle w:val="a9"/>
            <w:sz w:val="24"/>
            <w:szCs w:val="24"/>
          </w:rPr>
          <w:t>.ru</w:t>
        </w:r>
      </w:hyperlink>
      <w:r w:rsidRPr="003C33AB">
        <w:rPr>
          <w:sz w:val="24"/>
          <w:szCs w:val="24"/>
        </w:rPr>
        <w:t xml:space="preserve"> до </w:t>
      </w:r>
      <w:r w:rsidRPr="003C33AB">
        <w:rPr>
          <w:b/>
          <w:sz w:val="24"/>
          <w:szCs w:val="24"/>
        </w:rPr>
        <w:t>7 апреля 2023 года</w:t>
      </w:r>
      <w:r w:rsidRPr="003C33AB">
        <w:rPr>
          <w:sz w:val="24"/>
          <w:szCs w:val="24"/>
        </w:rPr>
        <w:t xml:space="preserve">. Организатор вправе не принимать анкету, полученную позже указанного срока. Сведения включаются в рэнкинги после </w:t>
      </w:r>
      <w:r w:rsidRPr="003C33AB">
        <w:rPr>
          <w:b/>
          <w:sz w:val="24"/>
          <w:szCs w:val="24"/>
        </w:rPr>
        <w:t>получения анкеты и бланка подтверждения, оплаты услуг по обработке информации и верификации организатором рэнкингов анкетных данных</w:t>
      </w:r>
      <w:r w:rsidRPr="003C33AB">
        <w:rPr>
          <w:sz w:val="24"/>
          <w:szCs w:val="24"/>
        </w:rPr>
        <w:t>.</w:t>
      </w:r>
    </w:p>
    <w:p w14:paraId="3276709B" w14:textId="77777777" w:rsidR="003C33AB" w:rsidRP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  <w:u w:val="single"/>
        </w:rPr>
      </w:pPr>
    </w:p>
    <w:p w14:paraId="36E3FA98" w14:textId="52D33DC5" w:rsidR="00DB264E" w:rsidRDefault="003C33AB" w:rsidP="0010655B">
      <w:pPr>
        <w:suppressAutoHyphens/>
        <w:jc w:val="both"/>
        <w:rPr>
          <w:sz w:val="24"/>
          <w:szCs w:val="24"/>
        </w:rPr>
      </w:pPr>
      <w:r w:rsidRPr="003C33AB">
        <w:rPr>
          <w:sz w:val="24"/>
          <w:szCs w:val="24"/>
        </w:rPr>
        <w:t xml:space="preserve">Основным источником для размещения рэнкингов является сайт рейтингового агентства </w:t>
      </w:r>
      <w:r w:rsidRPr="003C33AB">
        <w:rPr>
          <w:sz w:val="24"/>
          <w:szCs w:val="24"/>
          <w:lang w:val="en-US"/>
        </w:rPr>
        <w:t>RAEX</w:t>
      </w:r>
      <w:r w:rsidRPr="003C33AB">
        <w:rPr>
          <w:sz w:val="24"/>
          <w:szCs w:val="24"/>
        </w:rPr>
        <w:t xml:space="preserve"> – </w:t>
      </w:r>
      <w:hyperlink r:id="rId12" w:history="1">
        <w:r w:rsidRPr="003C33AB">
          <w:rPr>
            <w:rStyle w:val="a9"/>
            <w:sz w:val="24"/>
            <w:szCs w:val="24"/>
            <w:lang w:val="en-US"/>
          </w:rPr>
          <w:t>www</w:t>
        </w:r>
        <w:r w:rsidRPr="003C33AB">
          <w:rPr>
            <w:rStyle w:val="a9"/>
            <w:sz w:val="24"/>
            <w:szCs w:val="24"/>
          </w:rPr>
          <w:t>.</w:t>
        </w:r>
        <w:r w:rsidRPr="003C33AB">
          <w:rPr>
            <w:rStyle w:val="a9"/>
            <w:sz w:val="24"/>
            <w:szCs w:val="24"/>
            <w:lang w:val="en-US"/>
          </w:rPr>
          <w:t>raex</w:t>
        </w:r>
        <w:r w:rsidRPr="003C33AB">
          <w:rPr>
            <w:rStyle w:val="a9"/>
            <w:sz w:val="24"/>
            <w:szCs w:val="24"/>
          </w:rPr>
          <w:t>-</w:t>
        </w:r>
        <w:r w:rsidRPr="003C33AB">
          <w:rPr>
            <w:rStyle w:val="a9"/>
            <w:sz w:val="24"/>
            <w:szCs w:val="24"/>
            <w:lang w:val="en-US"/>
          </w:rPr>
          <w:t>rr</w:t>
        </w:r>
        <w:r w:rsidRPr="003C33AB">
          <w:rPr>
            <w:rStyle w:val="a9"/>
            <w:sz w:val="24"/>
            <w:szCs w:val="24"/>
          </w:rPr>
          <w:t>.</w:t>
        </w:r>
        <w:r w:rsidRPr="003C33AB">
          <w:rPr>
            <w:rStyle w:val="a9"/>
            <w:sz w:val="24"/>
            <w:szCs w:val="24"/>
            <w:lang w:val="en-US"/>
          </w:rPr>
          <w:t>com</w:t>
        </w:r>
        <w:r w:rsidRPr="003C33AB">
          <w:rPr>
            <w:rStyle w:val="a9"/>
            <w:sz w:val="24"/>
            <w:szCs w:val="24"/>
          </w:rPr>
          <w:t>/</w:t>
        </w:r>
        <w:r w:rsidRPr="003C33AB">
          <w:rPr>
            <w:rStyle w:val="a9"/>
            <w:sz w:val="24"/>
            <w:szCs w:val="24"/>
            <w:lang w:val="en-US"/>
          </w:rPr>
          <w:t>pro</w:t>
        </w:r>
      </w:hyperlink>
      <w:r w:rsidRPr="003C33AB">
        <w:rPr>
          <w:sz w:val="24"/>
          <w:szCs w:val="24"/>
        </w:rPr>
        <w:t xml:space="preserve">. Предложения и вопросы в рамках методики и принципов рэнкингов консалтинговых компаний принимаются по e-mail </w:t>
      </w:r>
      <w:hyperlink r:id="rId13" w:history="1">
        <w:r w:rsidRPr="003C33AB">
          <w:rPr>
            <w:rStyle w:val="a9"/>
            <w:sz w:val="24"/>
            <w:szCs w:val="24"/>
            <w:lang w:val="en-US"/>
          </w:rPr>
          <w:t>consulting</w:t>
        </w:r>
        <w:r w:rsidRPr="003C33AB">
          <w:rPr>
            <w:rStyle w:val="a9"/>
            <w:sz w:val="24"/>
            <w:szCs w:val="24"/>
          </w:rPr>
          <w:t>@raex-a.ru</w:t>
        </w:r>
      </w:hyperlink>
      <w:r w:rsidRPr="003C33AB">
        <w:rPr>
          <w:sz w:val="24"/>
          <w:szCs w:val="24"/>
        </w:rPr>
        <w:t>.</w:t>
      </w:r>
    </w:p>
    <w:p w14:paraId="0CF5991E" w14:textId="77777777" w:rsidR="0010655B" w:rsidRDefault="0010655B" w:rsidP="0010655B">
      <w:pPr>
        <w:suppressAutoHyphens/>
        <w:jc w:val="both"/>
        <w:rPr>
          <w:sz w:val="24"/>
          <w:szCs w:val="24"/>
        </w:rPr>
      </w:pPr>
    </w:p>
    <w:p w14:paraId="265FF0A4" w14:textId="7A9B8DCF" w:rsidR="00A62C3C" w:rsidRPr="00B35A0A" w:rsidRDefault="00A62C3C" w:rsidP="00A62C3C">
      <w:pPr>
        <w:pStyle w:val="2"/>
        <w:shd w:val="clear" w:color="auto" w:fill="BFBFBF" w:themeFill="background1" w:themeFillShade="BF"/>
        <w:jc w:val="center"/>
        <w:rPr>
          <w:sz w:val="24"/>
          <w:szCs w:val="24"/>
        </w:rPr>
      </w:pPr>
      <w:r>
        <w:rPr>
          <w:b w:val="0"/>
          <w:sz w:val="32"/>
          <w:szCs w:val="32"/>
        </w:rPr>
        <w:t>Рэнкинг</w:t>
      </w:r>
      <w:r w:rsidR="003C33A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="003C33AB">
        <w:rPr>
          <w:b w:val="0"/>
          <w:sz w:val="32"/>
          <w:szCs w:val="32"/>
        </w:rPr>
        <w:t>«Аутсорсинг учётных функций»</w:t>
      </w:r>
    </w:p>
    <w:p w14:paraId="52D2CC64" w14:textId="05CF8EB2" w:rsidR="003C33AB" w:rsidRPr="001528AF" w:rsidRDefault="00B84244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3C33AB" w:rsidRPr="003B07E3">
        <w:rPr>
          <w:sz w:val="24"/>
          <w:szCs w:val="24"/>
        </w:rPr>
        <w:t>«</w:t>
      </w:r>
      <w:r w:rsidR="003C33AB">
        <w:rPr>
          <w:sz w:val="24"/>
          <w:szCs w:val="24"/>
        </w:rPr>
        <w:t>Аутсорсинг учётных функций</w:t>
      </w:r>
      <w:r w:rsidR="003C33AB" w:rsidRPr="003B07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реализуется </w:t>
      </w:r>
      <w:r w:rsidR="003C33AB" w:rsidRPr="003B07E3">
        <w:rPr>
          <w:sz w:val="24"/>
          <w:szCs w:val="24"/>
        </w:rPr>
        <w:t xml:space="preserve">командой </w:t>
      </w:r>
      <w:r w:rsidR="003C33AB" w:rsidRPr="003B07E3">
        <w:rPr>
          <w:sz w:val="24"/>
          <w:szCs w:val="24"/>
          <w:lang w:val="en-US"/>
        </w:rPr>
        <w:t>RAEX</w:t>
      </w:r>
      <w:r w:rsidR="003C33AB" w:rsidRPr="003B07E3">
        <w:rPr>
          <w:sz w:val="24"/>
          <w:szCs w:val="24"/>
        </w:rPr>
        <w:t xml:space="preserve"> начиная с 2010 года</w:t>
      </w:r>
      <w:r w:rsidR="003C33AB">
        <w:rPr>
          <w:sz w:val="24"/>
          <w:szCs w:val="24"/>
        </w:rPr>
        <w:t>. А</w:t>
      </w:r>
      <w:r w:rsidR="003C33AB" w:rsidRPr="003B07E3">
        <w:rPr>
          <w:sz w:val="24"/>
          <w:szCs w:val="24"/>
        </w:rPr>
        <w:t xml:space="preserve">рхив </w:t>
      </w:r>
      <w:r w:rsidR="003C33AB">
        <w:rPr>
          <w:sz w:val="24"/>
          <w:szCs w:val="24"/>
        </w:rPr>
        <w:t xml:space="preserve">выпусков рэнкингов </w:t>
      </w:r>
      <w:r w:rsidR="003C33AB" w:rsidRPr="003B07E3">
        <w:rPr>
          <w:sz w:val="24"/>
          <w:szCs w:val="24"/>
        </w:rPr>
        <w:t>доступ</w:t>
      </w:r>
      <w:r w:rsidR="003C33AB">
        <w:rPr>
          <w:sz w:val="24"/>
          <w:szCs w:val="24"/>
        </w:rPr>
        <w:t>е</w:t>
      </w:r>
      <w:r w:rsidR="003C33AB" w:rsidRPr="003B07E3">
        <w:rPr>
          <w:sz w:val="24"/>
          <w:szCs w:val="24"/>
        </w:rPr>
        <w:t>н на сайт</w:t>
      </w:r>
      <w:r w:rsidR="003C33AB">
        <w:rPr>
          <w:sz w:val="24"/>
          <w:szCs w:val="24"/>
        </w:rPr>
        <w:t>е</w:t>
      </w:r>
      <w:r w:rsidR="003C33AB" w:rsidRPr="003B07E3">
        <w:rPr>
          <w:sz w:val="24"/>
          <w:szCs w:val="24"/>
        </w:rPr>
        <w:t xml:space="preserve"> агентства (</w:t>
      </w:r>
      <w:hyperlink r:id="rId14" w:history="1">
        <w:r w:rsidR="003C33AB" w:rsidRPr="0001653C">
          <w:rPr>
            <w:rStyle w:val="a9"/>
            <w:sz w:val="24"/>
            <w:szCs w:val="24"/>
            <w:lang w:val="en-US"/>
          </w:rPr>
          <w:t>www</w:t>
        </w:r>
        <w:r w:rsidR="003C33AB" w:rsidRPr="0001653C">
          <w:rPr>
            <w:rStyle w:val="a9"/>
            <w:sz w:val="24"/>
            <w:szCs w:val="24"/>
          </w:rPr>
          <w:t>.</w:t>
        </w:r>
        <w:r w:rsidR="003C33AB" w:rsidRPr="0001653C">
          <w:rPr>
            <w:rStyle w:val="a9"/>
            <w:sz w:val="24"/>
            <w:szCs w:val="24"/>
            <w:lang w:val="en-US"/>
          </w:rPr>
          <w:t>raex</w:t>
        </w:r>
        <w:r w:rsidR="003C33AB" w:rsidRPr="0001653C">
          <w:rPr>
            <w:rStyle w:val="a9"/>
            <w:sz w:val="24"/>
            <w:szCs w:val="24"/>
          </w:rPr>
          <w:t>-</w:t>
        </w:r>
        <w:r w:rsidR="003C33AB" w:rsidRPr="0001653C">
          <w:rPr>
            <w:rStyle w:val="a9"/>
            <w:sz w:val="24"/>
            <w:szCs w:val="24"/>
            <w:lang w:val="en-US"/>
          </w:rPr>
          <w:t>rr</w:t>
        </w:r>
        <w:r w:rsidR="003C33AB" w:rsidRPr="0001653C">
          <w:rPr>
            <w:rStyle w:val="a9"/>
            <w:sz w:val="24"/>
            <w:szCs w:val="24"/>
          </w:rPr>
          <w:t>.</w:t>
        </w:r>
        <w:r w:rsidR="003C33AB" w:rsidRPr="0001653C">
          <w:rPr>
            <w:rStyle w:val="a9"/>
            <w:sz w:val="24"/>
            <w:szCs w:val="24"/>
            <w:lang w:val="en-US"/>
          </w:rPr>
          <w:t>com</w:t>
        </w:r>
        <w:r w:rsidR="003C33AB" w:rsidRPr="0001653C">
          <w:rPr>
            <w:rStyle w:val="a9"/>
            <w:sz w:val="24"/>
            <w:szCs w:val="24"/>
          </w:rPr>
          <w:t>/</w:t>
        </w:r>
        <w:r w:rsidR="003C33AB" w:rsidRPr="0001653C">
          <w:rPr>
            <w:rStyle w:val="a9"/>
            <w:sz w:val="24"/>
            <w:szCs w:val="24"/>
            <w:lang w:val="en-US"/>
          </w:rPr>
          <w:t>pro</w:t>
        </w:r>
      </w:hyperlink>
      <w:r w:rsidR="003C33AB" w:rsidRPr="003B07E3">
        <w:rPr>
          <w:sz w:val="24"/>
          <w:szCs w:val="24"/>
        </w:rPr>
        <w:t>)</w:t>
      </w:r>
      <w:r w:rsidR="003C33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33AB" w:rsidRPr="001528AF">
        <w:rPr>
          <w:bCs/>
          <w:sz w:val="24"/>
          <w:szCs w:val="24"/>
        </w:rPr>
        <w:t xml:space="preserve">Рэнкинги </w:t>
      </w:r>
      <w:r w:rsidR="003C33AB" w:rsidRPr="003C33AB">
        <w:rPr>
          <w:sz w:val="24"/>
          <w:szCs w:val="24"/>
        </w:rPr>
        <w:t>«Аутсорсинг учётных функций»</w:t>
      </w:r>
      <w:r w:rsidR="003C33AB" w:rsidRPr="001528AF">
        <w:rPr>
          <w:sz w:val="24"/>
          <w:szCs w:val="24"/>
        </w:rPr>
        <w:t xml:space="preserve"> представлены </w:t>
      </w:r>
      <w:r w:rsidR="003C33AB" w:rsidRPr="001528AF">
        <w:rPr>
          <w:bCs/>
          <w:sz w:val="24"/>
          <w:szCs w:val="24"/>
        </w:rPr>
        <w:t xml:space="preserve">списком </w:t>
      </w:r>
      <w:r w:rsidR="003C33AB" w:rsidRPr="001528AF">
        <w:rPr>
          <w:b/>
          <w:bCs/>
          <w:sz w:val="24"/>
          <w:szCs w:val="24"/>
        </w:rPr>
        <w:t>крупнейших групп и компаний</w:t>
      </w:r>
      <w:r w:rsidR="003C33AB">
        <w:rPr>
          <w:b/>
          <w:bCs/>
          <w:sz w:val="24"/>
          <w:szCs w:val="24"/>
        </w:rPr>
        <w:t>,</w:t>
      </w:r>
      <w:r w:rsidR="003C33AB" w:rsidRPr="001528AF">
        <w:rPr>
          <w:b/>
          <w:bCs/>
          <w:sz w:val="24"/>
          <w:szCs w:val="24"/>
        </w:rPr>
        <w:t xml:space="preserve"> ранжированных по показателю выручки, полученной от услуг в области аутсорсинга учётных функций</w:t>
      </w:r>
      <w:r w:rsidR="003C33AB" w:rsidRPr="001528AF">
        <w:rPr>
          <w:sz w:val="24"/>
          <w:szCs w:val="24"/>
        </w:rPr>
        <w:t xml:space="preserve">, а также субрэнкингами по направлениям аутсорсинга учёта. Участники: организации </w:t>
      </w:r>
      <w:r>
        <w:rPr>
          <w:sz w:val="24"/>
          <w:szCs w:val="24"/>
        </w:rPr>
        <w:t>(</w:t>
      </w:r>
      <w:r w:rsidR="003C33AB" w:rsidRPr="001528AF">
        <w:rPr>
          <w:sz w:val="24"/>
          <w:szCs w:val="24"/>
        </w:rPr>
        <w:t>или их группы</w:t>
      </w:r>
      <w:r>
        <w:rPr>
          <w:sz w:val="24"/>
          <w:szCs w:val="24"/>
        </w:rPr>
        <w:t>)</w:t>
      </w:r>
      <w:r w:rsidR="00AC1393">
        <w:rPr>
          <w:sz w:val="24"/>
          <w:szCs w:val="24"/>
        </w:rPr>
        <w:t>,</w:t>
      </w:r>
      <w:r w:rsidR="003C33AB" w:rsidRPr="001528AF">
        <w:rPr>
          <w:sz w:val="24"/>
          <w:szCs w:val="24"/>
        </w:rPr>
        <w:t xml:space="preserve"> </w:t>
      </w:r>
      <w:r w:rsidRPr="00E645D3">
        <w:rPr>
          <w:sz w:val="24"/>
          <w:szCs w:val="24"/>
        </w:rPr>
        <w:t>зарегистрированные на территории РФ</w:t>
      </w:r>
      <w:r>
        <w:rPr>
          <w:sz w:val="24"/>
          <w:szCs w:val="24"/>
        </w:rPr>
        <w:t>,</w:t>
      </w:r>
      <w:r w:rsidRPr="001528AF">
        <w:rPr>
          <w:sz w:val="24"/>
          <w:szCs w:val="24"/>
        </w:rPr>
        <w:t xml:space="preserve"> </w:t>
      </w:r>
      <w:r w:rsidR="003C33AB" w:rsidRPr="001528AF">
        <w:rPr>
          <w:sz w:val="24"/>
          <w:szCs w:val="24"/>
        </w:rPr>
        <w:t>с опытом предоставления услуг по регулярному обеспечению учётных функций клиента.</w:t>
      </w:r>
    </w:p>
    <w:p w14:paraId="1AB3F93A" w14:textId="77777777" w:rsidR="003C33AB" w:rsidRDefault="003C33AB" w:rsidP="003C33A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5B94CEB0" w14:textId="4E3D65A9" w:rsidR="003C33AB" w:rsidRDefault="008974B2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8974B2">
        <w:rPr>
          <w:b/>
          <w:bCs/>
          <w:sz w:val="24"/>
          <w:szCs w:val="24"/>
        </w:rPr>
        <w:lastRenderedPageBreak/>
        <w:t>Критерий ранжирования</w:t>
      </w:r>
      <w:r w:rsidRPr="003C33AB">
        <w:rPr>
          <w:bCs/>
          <w:sz w:val="24"/>
          <w:szCs w:val="24"/>
        </w:rPr>
        <w:t xml:space="preserve"> в рэнкинге: суммарная выручка от услуг </w:t>
      </w:r>
      <w:r w:rsidR="00DE117B">
        <w:rPr>
          <w:bCs/>
          <w:sz w:val="24"/>
          <w:szCs w:val="24"/>
        </w:rPr>
        <w:t xml:space="preserve">аутсорсинга функций учёта </w:t>
      </w:r>
      <w:r w:rsidRPr="003C33AB">
        <w:rPr>
          <w:bCs/>
          <w:sz w:val="24"/>
          <w:szCs w:val="24"/>
        </w:rPr>
        <w:t xml:space="preserve">за исследуемый период. </w:t>
      </w:r>
      <w:r w:rsidRPr="008974B2">
        <w:rPr>
          <w:bCs/>
          <w:sz w:val="24"/>
          <w:szCs w:val="24"/>
        </w:rPr>
        <w:t>Дополнительные критерии</w:t>
      </w:r>
      <w:r w:rsidR="003C33AB">
        <w:rPr>
          <w:bCs/>
          <w:sz w:val="24"/>
          <w:szCs w:val="24"/>
        </w:rPr>
        <w:t xml:space="preserve"> </w:t>
      </w:r>
      <w:r w:rsidR="00E178B1">
        <w:rPr>
          <w:bCs/>
          <w:sz w:val="24"/>
          <w:szCs w:val="24"/>
        </w:rPr>
        <w:t xml:space="preserve">для </w:t>
      </w:r>
      <w:r w:rsidR="003C33AB">
        <w:rPr>
          <w:bCs/>
          <w:sz w:val="24"/>
          <w:szCs w:val="24"/>
        </w:rPr>
        <w:t xml:space="preserve">составления </w:t>
      </w:r>
      <w:r w:rsidRPr="008974B2">
        <w:rPr>
          <w:bCs/>
          <w:sz w:val="24"/>
          <w:szCs w:val="24"/>
        </w:rPr>
        <w:t>субрэнкинг</w:t>
      </w:r>
      <w:r w:rsidR="00E178B1">
        <w:rPr>
          <w:bCs/>
          <w:sz w:val="24"/>
          <w:szCs w:val="24"/>
        </w:rPr>
        <w:t>ов</w:t>
      </w:r>
      <w:r w:rsidR="00463833">
        <w:rPr>
          <w:bCs/>
          <w:sz w:val="24"/>
          <w:szCs w:val="24"/>
        </w:rPr>
        <w:t>:</w:t>
      </w:r>
      <w:r w:rsidR="003C33AB">
        <w:rPr>
          <w:bCs/>
          <w:sz w:val="24"/>
          <w:szCs w:val="24"/>
        </w:rPr>
        <w:t xml:space="preserve"> </w:t>
      </w:r>
      <w:r w:rsidRPr="008974B2">
        <w:rPr>
          <w:bCs/>
          <w:sz w:val="24"/>
          <w:szCs w:val="24"/>
        </w:rPr>
        <w:t>выручка</w:t>
      </w:r>
      <w:r w:rsidR="003C33AB">
        <w:rPr>
          <w:bCs/>
          <w:sz w:val="24"/>
          <w:szCs w:val="24"/>
        </w:rPr>
        <w:t>, полученная от аутсорсинга</w:t>
      </w:r>
      <w:r w:rsidRPr="008974B2">
        <w:rPr>
          <w:bCs/>
          <w:sz w:val="24"/>
          <w:szCs w:val="24"/>
        </w:rPr>
        <w:t xml:space="preserve"> по направлениям</w:t>
      </w:r>
      <w:r w:rsidR="003C33AB">
        <w:rPr>
          <w:bCs/>
          <w:sz w:val="24"/>
          <w:szCs w:val="24"/>
        </w:rPr>
        <w:t xml:space="preserve"> </w:t>
      </w:r>
      <w:r w:rsidR="00463833">
        <w:rPr>
          <w:bCs/>
          <w:sz w:val="24"/>
          <w:szCs w:val="24"/>
        </w:rPr>
        <w:t>«</w:t>
      </w:r>
      <w:r w:rsidR="003C33AB">
        <w:rPr>
          <w:bCs/>
          <w:sz w:val="24"/>
          <w:szCs w:val="24"/>
        </w:rPr>
        <w:t>бухгалтерский</w:t>
      </w:r>
      <w:r w:rsidR="003E175F">
        <w:rPr>
          <w:bCs/>
          <w:sz w:val="24"/>
          <w:szCs w:val="24"/>
        </w:rPr>
        <w:t>»</w:t>
      </w:r>
      <w:r w:rsidR="003C33AB">
        <w:rPr>
          <w:bCs/>
          <w:sz w:val="24"/>
          <w:szCs w:val="24"/>
        </w:rPr>
        <w:t xml:space="preserve"> и </w:t>
      </w:r>
      <w:r w:rsidR="003E175F">
        <w:rPr>
          <w:bCs/>
          <w:sz w:val="24"/>
          <w:szCs w:val="24"/>
        </w:rPr>
        <w:t>«</w:t>
      </w:r>
      <w:r w:rsidR="003C33AB">
        <w:rPr>
          <w:bCs/>
          <w:sz w:val="24"/>
          <w:szCs w:val="24"/>
        </w:rPr>
        <w:t xml:space="preserve">налоговый </w:t>
      </w:r>
      <w:r w:rsidR="005B1A99">
        <w:rPr>
          <w:bCs/>
          <w:sz w:val="24"/>
          <w:szCs w:val="24"/>
        </w:rPr>
        <w:t>учёт</w:t>
      </w:r>
      <w:r w:rsidR="003E175F">
        <w:rPr>
          <w:bCs/>
          <w:sz w:val="24"/>
          <w:szCs w:val="24"/>
        </w:rPr>
        <w:t>»</w:t>
      </w:r>
      <w:r w:rsidR="00463833">
        <w:rPr>
          <w:bCs/>
          <w:sz w:val="24"/>
          <w:szCs w:val="24"/>
        </w:rPr>
        <w:t>;</w:t>
      </w:r>
      <w:r w:rsidR="003C33AB">
        <w:rPr>
          <w:bCs/>
          <w:sz w:val="24"/>
          <w:szCs w:val="24"/>
        </w:rPr>
        <w:t xml:space="preserve"> </w:t>
      </w:r>
      <w:r w:rsidR="005B1A99">
        <w:rPr>
          <w:bCs/>
          <w:sz w:val="24"/>
          <w:szCs w:val="24"/>
        </w:rPr>
        <w:t xml:space="preserve">расчёт </w:t>
      </w:r>
      <w:r w:rsidR="003C33AB">
        <w:rPr>
          <w:bCs/>
          <w:sz w:val="24"/>
          <w:szCs w:val="24"/>
        </w:rPr>
        <w:t>заработной платы</w:t>
      </w:r>
      <w:r w:rsidR="00463833">
        <w:rPr>
          <w:bCs/>
          <w:sz w:val="24"/>
          <w:szCs w:val="24"/>
        </w:rPr>
        <w:t>;</w:t>
      </w:r>
      <w:r w:rsidR="003C33AB">
        <w:rPr>
          <w:bCs/>
          <w:sz w:val="24"/>
          <w:szCs w:val="24"/>
        </w:rPr>
        <w:t xml:space="preserve"> подготовка отчётности по национальным стандартам</w:t>
      </w:r>
      <w:r w:rsidR="00463833">
        <w:rPr>
          <w:bCs/>
          <w:sz w:val="24"/>
          <w:szCs w:val="24"/>
        </w:rPr>
        <w:t>;</w:t>
      </w:r>
      <w:r w:rsidR="003C33AB">
        <w:rPr>
          <w:bCs/>
          <w:sz w:val="24"/>
          <w:szCs w:val="24"/>
        </w:rPr>
        <w:t xml:space="preserve"> подготовка отчётности по МСФО</w:t>
      </w:r>
      <w:r w:rsidR="00463833">
        <w:rPr>
          <w:bCs/>
          <w:sz w:val="24"/>
          <w:szCs w:val="24"/>
        </w:rPr>
        <w:t>;</w:t>
      </w:r>
      <w:r w:rsidR="003C33AB">
        <w:rPr>
          <w:bCs/>
          <w:sz w:val="24"/>
          <w:szCs w:val="24"/>
        </w:rPr>
        <w:t xml:space="preserve"> кадровый учёт и кадровое делопроизводство.</w:t>
      </w:r>
    </w:p>
    <w:p w14:paraId="0284F826" w14:textId="667E56C6" w:rsidR="003C33AB" w:rsidRDefault="003C33A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4489549E" w14:textId="77777777" w:rsidR="00DE117B" w:rsidRPr="003B07E3" w:rsidRDefault="00DE117B" w:rsidP="00DE117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B07E3">
        <w:rPr>
          <w:sz w:val="24"/>
          <w:szCs w:val="24"/>
        </w:rPr>
        <w:t xml:space="preserve">Выручка от аутсорсинга учёта не должна включать доходы от других видов деятельности. </w:t>
      </w:r>
      <w:r w:rsidRPr="003B07E3">
        <w:rPr>
          <w:b/>
          <w:bCs/>
          <w:sz w:val="24"/>
          <w:szCs w:val="24"/>
        </w:rPr>
        <w:t>Не может учитываться доход от оказания услуг, не связанных с регулярным (не менее одного года) обслуживанием учётных функций клиента</w:t>
      </w:r>
      <w:r w:rsidRPr="003B07E3">
        <w:rPr>
          <w:b/>
          <w:sz w:val="24"/>
          <w:szCs w:val="24"/>
        </w:rPr>
        <w:t>.</w:t>
      </w:r>
    </w:p>
    <w:p w14:paraId="63800E3C" w14:textId="77777777" w:rsidR="00DE117B" w:rsidRDefault="00DE117B" w:rsidP="00DE117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2AEEFA9" w14:textId="77777777" w:rsidR="00DE117B" w:rsidRPr="00AD3B1F" w:rsidRDefault="00DE117B" w:rsidP="00DE117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D3B1F">
        <w:rPr>
          <w:b/>
          <w:sz w:val="24"/>
          <w:szCs w:val="24"/>
        </w:rPr>
        <w:t>Доход от конс</w:t>
      </w:r>
      <w:r>
        <w:rPr>
          <w:b/>
          <w:sz w:val="24"/>
          <w:szCs w:val="24"/>
        </w:rPr>
        <w:t>а</w:t>
      </w:r>
      <w:r w:rsidRPr="00AD3B1F">
        <w:rPr>
          <w:b/>
          <w:sz w:val="24"/>
          <w:szCs w:val="24"/>
        </w:rPr>
        <w:t>лти</w:t>
      </w:r>
      <w:r>
        <w:rPr>
          <w:b/>
          <w:sz w:val="24"/>
          <w:szCs w:val="24"/>
        </w:rPr>
        <w:t xml:space="preserve">нга </w:t>
      </w:r>
      <w:r w:rsidRPr="00AD3B1F">
        <w:rPr>
          <w:sz w:val="24"/>
          <w:szCs w:val="24"/>
        </w:rPr>
        <w:t xml:space="preserve">в области бухгалтерского, налогового или кадрового учёта </w:t>
      </w:r>
      <w:r w:rsidRPr="00AD3B1F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>жет</w:t>
      </w:r>
      <w:r w:rsidRPr="00AD3B1F">
        <w:rPr>
          <w:b/>
          <w:sz w:val="24"/>
          <w:szCs w:val="24"/>
        </w:rPr>
        <w:t xml:space="preserve"> учитываться в качестве выручки от аутсорсинга в том случае, если </w:t>
      </w:r>
      <w:r>
        <w:rPr>
          <w:b/>
          <w:sz w:val="24"/>
          <w:szCs w:val="24"/>
        </w:rPr>
        <w:t>этот</w:t>
      </w:r>
      <w:r w:rsidRPr="00AD3B1F">
        <w:rPr>
          <w:b/>
          <w:sz w:val="24"/>
          <w:szCs w:val="24"/>
        </w:rPr>
        <w:t xml:space="preserve"> консалтинг является регулярным процессом в рамках аутсорсинга учёт</w:t>
      </w:r>
      <w:r>
        <w:rPr>
          <w:b/>
          <w:sz w:val="24"/>
          <w:szCs w:val="24"/>
        </w:rPr>
        <w:t xml:space="preserve">а </w:t>
      </w:r>
      <w:r w:rsidRPr="00AD3B1F">
        <w:rPr>
          <w:b/>
          <w:sz w:val="24"/>
          <w:szCs w:val="24"/>
        </w:rPr>
        <w:t>клиента</w:t>
      </w:r>
      <w:r w:rsidRPr="00AD3B1F">
        <w:rPr>
          <w:sz w:val="24"/>
          <w:szCs w:val="24"/>
        </w:rPr>
        <w:t>.</w:t>
      </w:r>
    </w:p>
    <w:p w14:paraId="4C2CF465" w14:textId="77777777" w:rsidR="00DE117B" w:rsidRPr="00AD3B1F" w:rsidRDefault="00DE117B" w:rsidP="00DE117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17D3D3A8" w14:textId="73A8A3E6" w:rsidR="00DE117B" w:rsidRDefault="00DE117B" w:rsidP="00DE117B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AD3B1F">
        <w:rPr>
          <w:sz w:val="24"/>
          <w:szCs w:val="24"/>
        </w:rPr>
        <w:t xml:space="preserve">Если подготовка финансовой отчётности </w:t>
      </w:r>
      <w:r>
        <w:rPr>
          <w:sz w:val="24"/>
          <w:szCs w:val="24"/>
        </w:rPr>
        <w:t xml:space="preserve">(РСБУ, </w:t>
      </w:r>
      <w:r w:rsidRPr="00AD3B1F">
        <w:rPr>
          <w:sz w:val="24"/>
          <w:szCs w:val="24"/>
        </w:rPr>
        <w:t>МСФО</w:t>
      </w:r>
      <w:r>
        <w:rPr>
          <w:sz w:val="24"/>
          <w:szCs w:val="24"/>
        </w:rPr>
        <w:t>)</w:t>
      </w:r>
      <w:r w:rsidRPr="00AD3B1F">
        <w:rPr>
          <w:sz w:val="24"/>
          <w:szCs w:val="24"/>
        </w:rPr>
        <w:t xml:space="preserve"> не является разовой услугой и </w:t>
      </w:r>
      <w:r w:rsidRPr="00AD3B1F">
        <w:rPr>
          <w:b/>
          <w:sz w:val="24"/>
          <w:szCs w:val="24"/>
        </w:rPr>
        <w:t>выполняется на регулярной основе (договор регулярного или постоянного обслуживания)</w:t>
      </w:r>
      <w:r w:rsidRPr="00AD3B1F">
        <w:rPr>
          <w:sz w:val="24"/>
          <w:szCs w:val="24"/>
        </w:rPr>
        <w:t>, то полученный от этого доход является выручкой от аутсорсинга.</w:t>
      </w:r>
    </w:p>
    <w:p w14:paraId="31BDF5A9" w14:textId="77777777" w:rsidR="00DE117B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188EC38D" w14:textId="2471E0B5" w:rsidR="00F351EE" w:rsidRDefault="008974B2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8974B2">
        <w:rPr>
          <w:bCs/>
          <w:sz w:val="24"/>
          <w:szCs w:val="24"/>
        </w:rPr>
        <w:t xml:space="preserve">Выручку подтверждает скан-копия </w:t>
      </w:r>
      <w:r w:rsidRPr="008974B2">
        <w:rPr>
          <w:b/>
          <w:bCs/>
          <w:sz w:val="24"/>
          <w:szCs w:val="24"/>
        </w:rPr>
        <w:t>формы №</w:t>
      </w:r>
      <w:r w:rsidR="005B1A99">
        <w:rPr>
          <w:b/>
          <w:bCs/>
          <w:sz w:val="24"/>
          <w:szCs w:val="24"/>
        </w:rPr>
        <w:t xml:space="preserve"> </w:t>
      </w:r>
      <w:r w:rsidRPr="008974B2">
        <w:rPr>
          <w:b/>
          <w:bCs/>
          <w:sz w:val="24"/>
          <w:szCs w:val="24"/>
        </w:rPr>
        <w:t xml:space="preserve">2 бухгалтерской отчётности. </w:t>
      </w:r>
      <w:r w:rsidRPr="008974B2">
        <w:rPr>
          <w:bCs/>
          <w:sz w:val="24"/>
          <w:szCs w:val="24"/>
        </w:rPr>
        <w:t xml:space="preserve">Отказ от предоставления </w:t>
      </w:r>
      <w:r w:rsidR="00E178B1">
        <w:rPr>
          <w:bCs/>
          <w:sz w:val="24"/>
          <w:szCs w:val="24"/>
        </w:rPr>
        <w:t xml:space="preserve">формы даёт </w:t>
      </w:r>
      <w:r w:rsidRPr="008974B2">
        <w:rPr>
          <w:bCs/>
          <w:sz w:val="24"/>
          <w:szCs w:val="24"/>
        </w:rPr>
        <w:t>право организатору не предоставлять услуги обработк</w:t>
      </w:r>
      <w:r w:rsidR="00B84244">
        <w:rPr>
          <w:bCs/>
          <w:sz w:val="24"/>
          <w:szCs w:val="24"/>
        </w:rPr>
        <w:t>и</w:t>
      </w:r>
      <w:r w:rsidRPr="008974B2">
        <w:rPr>
          <w:bCs/>
          <w:sz w:val="24"/>
          <w:szCs w:val="24"/>
        </w:rPr>
        <w:t xml:space="preserve"> информации. </w:t>
      </w:r>
      <w:r w:rsidR="00F351EE" w:rsidRPr="00F351EE">
        <w:rPr>
          <w:bCs/>
          <w:sz w:val="24"/>
          <w:szCs w:val="24"/>
        </w:rPr>
        <w:t>Если информация формы №</w:t>
      </w:r>
      <w:r w:rsidR="005B1A99">
        <w:rPr>
          <w:bCs/>
          <w:sz w:val="24"/>
          <w:szCs w:val="24"/>
        </w:rPr>
        <w:t xml:space="preserve"> </w:t>
      </w:r>
      <w:r w:rsidR="00F351EE" w:rsidRPr="00F351EE">
        <w:rPr>
          <w:bCs/>
          <w:sz w:val="24"/>
          <w:szCs w:val="24"/>
        </w:rPr>
        <w:t xml:space="preserve">2, предоставленной организатору, отличается от показателей аналогичной формы, предоставленной </w:t>
      </w:r>
      <w:r w:rsidR="00F351EE">
        <w:rPr>
          <w:bCs/>
          <w:sz w:val="24"/>
          <w:szCs w:val="24"/>
        </w:rPr>
        <w:t>в органы налогов и государственной статистики</w:t>
      </w:r>
      <w:r w:rsidR="00F351EE" w:rsidRPr="00F351EE">
        <w:rPr>
          <w:bCs/>
          <w:sz w:val="24"/>
          <w:szCs w:val="24"/>
        </w:rPr>
        <w:t xml:space="preserve">, то организатор вправе отказать в предоставлении услуг или опровергнуть сведения, включенные в рэнкинг. При выявлении намеренного искажения информации </w:t>
      </w:r>
      <w:r w:rsidR="00B84244">
        <w:rPr>
          <w:bCs/>
          <w:sz w:val="24"/>
          <w:szCs w:val="24"/>
        </w:rPr>
        <w:t xml:space="preserve">компания </w:t>
      </w:r>
      <w:r w:rsidR="00F351EE" w:rsidRPr="00F351EE">
        <w:rPr>
          <w:bCs/>
          <w:sz w:val="24"/>
          <w:szCs w:val="24"/>
        </w:rPr>
        <w:t>в рэнкинг не допускается.</w:t>
      </w:r>
    </w:p>
    <w:p w14:paraId="6D9AFA27" w14:textId="77777777" w:rsidR="00F351EE" w:rsidRDefault="00F351EE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0AE8B7FC" w14:textId="3FC65134" w:rsidR="008974B2" w:rsidRDefault="00E178B1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8974B2">
        <w:rPr>
          <w:b/>
          <w:bCs/>
          <w:sz w:val="24"/>
          <w:szCs w:val="24"/>
        </w:rPr>
        <w:t>Компании, участвующие в рэнкинге впервые, предоставляют копию отчётности в обязательном порядке.</w:t>
      </w:r>
      <w:r>
        <w:rPr>
          <w:b/>
          <w:bCs/>
          <w:sz w:val="24"/>
          <w:szCs w:val="24"/>
        </w:rPr>
        <w:t xml:space="preserve"> </w:t>
      </w:r>
      <w:r w:rsidR="00B84244">
        <w:rPr>
          <w:bCs/>
          <w:sz w:val="24"/>
          <w:szCs w:val="24"/>
        </w:rPr>
        <w:t>О</w:t>
      </w:r>
      <w:r w:rsidRPr="00E178B1">
        <w:rPr>
          <w:bCs/>
          <w:sz w:val="24"/>
          <w:szCs w:val="24"/>
        </w:rPr>
        <w:t xml:space="preserve">рганизатор вправе запросить примеры крупнейших клиентов за исследуемый период. Крупнейшие клиенты </w:t>
      </w:r>
      <w:r w:rsidR="003A6B2C" w:rsidRPr="003A6B2C">
        <w:rPr>
          <w:sz w:val="24"/>
          <w:szCs w:val="24"/>
        </w:rPr>
        <w:t>–</w:t>
      </w:r>
      <w:r w:rsidRPr="00E178B1">
        <w:rPr>
          <w:bCs/>
          <w:sz w:val="24"/>
          <w:szCs w:val="24"/>
        </w:rPr>
        <w:t xml:space="preserve"> это компании, при оказании услуг которым объём полученной выручки был наибольший.</w:t>
      </w:r>
      <w:r w:rsidR="00B84244">
        <w:rPr>
          <w:bCs/>
          <w:sz w:val="24"/>
          <w:szCs w:val="24"/>
        </w:rPr>
        <w:t xml:space="preserve"> </w:t>
      </w:r>
      <w:r w:rsidR="008974B2" w:rsidRPr="008974B2">
        <w:rPr>
          <w:bCs/>
          <w:sz w:val="24"/>
          <w:szCs w:val="24"/>
        </w:rPr>
        <w:t xml:space="preserve">Организатор </w:t>
      </w:r>
      <w:r w:rsidR="00B84244">
        <w:rPr>
          <w:bCs/>
          <w:sz w:val="24"/>
          <w:szCs w:val="24"/>
        </w:rPr>
        <w:t xml:space="preserve">также </w:t>
      </w:r>
      <w:r w:rsidR="008974B2" w:rsidRPr="008974B2">
        <w:rPr>
          <w:bCs/>
          <w:sz w:val="24"/>
          <w:szCs w:val="24"/>
        </w:rPr>
        <w:t xml:space="preserve">вправе запросить </w:t>
      </w:r>
      <w:r w:rsidR="00B84244">
        <w:rPr>
          <w:bCs/>
          <w:sz w:val="24"/>
          <w:szCs w:val="24"/>
        </w:rPr>
        <w:t xml:space="preserve">у компании </w:t>
      </w:r>
      <w:r w:rsidR="00114DC0">
        <w:rPr>
          <w:bCs/>
          <w:sz w:val="24"/>
          <w:szCs w:val="24"/>
        </w:rPr>
        <w:t xml:space="preserve">данные </w:t>
      </w:r>
      <w:r w:rsidR="008974B2" w:rsidRPr="008974B2">
        <w:rPr>
          <w:bCs/>
          <w:sz w:val="24"/>
          <w:szCs w:val="24"/>
        </w:rPr>
        <w:t xml:space="preserve">о факторах </w:t>
      </w:r>
      <w:r w:rsidR="00114DC0" w:rsidRPr="00114DC0">
        <w:rPr>
          <w:bCs/>
          <w:sz w:val="24"/>
          <w:szCs w:val="24"/>
        </w:rPr>
        <w:t>достижения результатов,</w:t>
      </w:r>
      <w:r w:rsidR="00B84244">
        <w:rPr>
          <w:bCs/>
          <w:sz w:val="24"/>
          <w:szCs w:val="24"/>
        </w:rPr>
        <w:t xml:space="preserve"> если её </w:t>
      </w:r>
      <w:r w:rsidR="00114DC0" w:rsidRPr="00114DC0">
        <w:rPr>
          <w:bCs/>
          <w:sz w:val="24"/>
          <w:szCs w:val="24"/>
        </w:rPr>
        <w:t xml:space="preserve">годовые темпы роста выручки превышают </w:t>
      </w:r>
      <w:r w:rsidR="00DE117B">
        <w:rPr>
          <w:bCs/>
          <w:sz w:val="24"/>
          <w:szCs w:val="24"/>
        </w:rPr>
        <w:t>30</w:t>
      </w:r>
      <w:r w:rsidR="00114DC0" w:rsidRPr="00114DC0">
        <w:rPr>
          <w:bCs/>
          <w:sz w:val="24"/>
          <w:szCs w:val="24"/>
        </w:rPr>
        <w:t>%</w:t>
      </w:r>
      <w:r w:rsidR="008974B2" w:rsidRPr="008974B2">
        <w:rPr>
          <w:bCs/>
          <w:sz w:val="24"/>
          <w:szCs w:val="24"/>
        </w:rPr>
        <w:t xml:space="preserve">. Отказ в предоставлении комментария даёт право организатору не указывать в </w:t>
      </w:r>
      <w:r w:rsidR="00114DC0">
        <w:rPr>
          <w:bCs/>
          <w:sz w:val="24"/>
          <w:szCs w:val="24"/>
        </w:rPr>
        <w:t xml:space="preserve">рэнкинге </w:t>
      </w:r>
      <w:r w:rsidR="008974B2" w:rsidRPr="008974B2">
        <w:rPr>
          <w:bCs/>
          <w:sz w:val="24"/>
          <w:szCs w:val="24"/>
        </w:rPr>
        <w:t>темп роста выручки участника.</w:t>
      </w:r>
    </w:p>
    <w:p w14:paraId="2B9F5512" w14:textId="176C4747" w:rsidR="00114DC0" w:rsidRDefault="00114DC0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374A2CF2" w14:textId="1C14C047" w:rsidR="00587AB2" w:rsidRPr="00CB463B" w:rsidRDefault="00587AB2" w:rsidP="00587AB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B463B">
        <w:rPr>
          <w:sz w:val="24"/>
          <w:szCs w:val="24"/>
        </w:rPr>
        <w:t xml:space="preserve">ачиная с 2021 года </w:t>
      </w:r>
      <w:r w:rsidRPr="00B84244">
        <w:rPr>
          <w:b/>
          <w:sz w:val="24"/>
          <w:szCs w:val="24"/>
        </w:rPr>
        <w:t xml:space="preserve">средняя численность </w:t>
      </w:r>
      <w:r w:rsidR="003C33AB" w:rsidRPr="00B84244">
        <w:rPr>
          <w:b/>
          <w:sz w:val="24"/>
          <w:szCs w:val="24"/>
        </w:rPr>
        <w:t xml:space="preserve">штатных </w:t>
      </w:r>
      <w:r w:rsidRPr="00B84244">
        <w:rPr>
          <w:b/>
          <w:sz w:val="24"/>
          <w:szCs w:val="24"/>
        </w:rPr>
        <w:t>специалистов</w:t>
      </w:r>
      <w:r w:rsidRPr="00CB463B">
        <w:rPr>
          <w:sz w:val="24"/>
          <w:szCs w:val="24"/>
        </w:rPr>
        <w:t xml:space="preserve"> отража</w:t>
      </w:r>
      <w:r>
        <w:rPr>
          <w:sz w:val="24"/>
          <w:szCs w:val="24"/>
        </w:rPr>
        <w:t>ется</w:t>
      </w:r>
      <w:r w:rsidRPr="00CB463B">
        <w:rPr>
          <w:sz w:val="24"/>
          <w:szCs w:val="24"/>
        </w:rPr>
        <w:t xml:space="preserve"> в рэнкинге</w:t>
      </w:r>
      <w:r w:rsidR="0030474A">
        <w:rPr>
          <w:sz w:val="24"/>
          <w:szCs w:val="24"/>
        </w:rPr>
        <w:t>,</w:t>
      </w:r>
      <w:r w:rsidRPr="00CB4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исходя </w:t>
      </w:r>
      <w:r w:rsidRPr="00CB463B">
        <w:rPr>
          <w:sz w:val="24"/>
          <w:szCs w:val="24"/>
        </w:rPr>
        <w:t xml:space="preserve">из среднесписочной численности </w:t>
      </w:r>
      <w:r w:rsidRPr="00587AB2">
        <w:rPr>
          <w:b/>
          <w:sz w:val="24"/>
          <w:szCs w:val="24"/>
        </w:rPr>
        <w:t xml:space="preserve">всех </w:t>
      </w:r>
      <w:r w:rsidRPr="00CB463B">
        <w:rPr>
          <w:b/>
          <w:sz w:val="24"/>
          <w:szCs w:val="24"/>
        </w:rPr>
        <w:t>сотрудников</w:t>
      </w:r>
      <w:r w:rsidRPr="00CB46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указываемой </w:t>
      </w:r>
      <w:r w:rsidRPr="00CB463B">
        <w:rPr>
          <w:sz w:val="24"/>
          <w:szCs w:val="24"/>
        </w:rPr>
        <w:t xml:space="preserve">в форме расчётов </w:t>
      </w:r>
      <w:r>
        <w:rPr>
          <w:sz w:val="24"/>
          <w:szCs w:val="24"/>
        </w:rPr>
        <w:t xml:space="preserve">по </w:t>
      </w:r>
      <w:r w:rsidRPr="00CB463B">
        <w:rPr>
          <w:sz w:val="24"/>
          <w:szCs w:val="24"/>
        </w:rPr>
        <w:t>страховы</w:t>
      </w:r>
      <w:r>
        <w:rPr>
          <w:sz w:val="24"/>
          <w:szCs w:val="24"/>
        </w:rPr>
        <w:t>м</w:t>
      </w:r>
      <w:r w:rsidRPr="00CB463B">
        <w:rPr>
          <w:sz w:val="24"/>
          <w:szCs w:val="24"/>
        </w:rPr>
        <w:t xml:space="preserve"> взнос</w:t>
      </w:r>
      <w:r>
        <w:rPr>
          <w:sz w:val="24"/>
          <w:szCs w:val="24"/>
        </w:rPr>
        <w:t>ам</w:t>
      </w:r>
      <w:r w:rsidRPr="00CB463B">
        <w:rPr>
          <w:sz w:val="24"/>
          <w:szCs w:val="24"/>
        </w:rPr>
        <w:t xml:space="preserve"> (см. титульный лист формы КНД 1151111). Если в рэнкинге</w:t>
      </w:r>
      <w:r w:rsidR="003C33AB">
        <w:rPr>
          <w:sz w:val="24"/>
          <w:szCs w:val="24"/>
        </w:rPr>
        <w:t xml:space="preserve"> </w:t>
      </w:r>
      <w:r w:rsidRPr="00CB463B">
        <w:rPr>
          <w:sz w:val="24"/>
          <w:szCs w:val="24"/>
        </w:rPr>
        <w:t>участвует группа, то основой для расчёта средней численности специалистов буд</w:t>
      </w:r>
      <w:r w:rsidR="00CE4C68">
        <w:rPr>
          <w:sz w:val="24"/>
          <w:szCs w:val="24"/>
        </w:rPr>
        <w:t>е</w:t>
      </w:r>
      <w:r w:rsidRPr="00CB463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CB463B">
        <w:rPr>
          <w:sz w:val="24"/>
          <w:szCs w:val="24"/>
        </w:rPr>
        <w:t>соответствующ</w:t>
      </w:r>
      <w:r w:rsidR="00CE4C68">
        <w:rPr>
          <w:sz w:val="24"/>
          <w:szCs w:val="24"/>
        </w:rPr>
        <w:t>ая</w:t>
      </w:r>
      <w:r w:rsidRPr="00CB463B">
        <w:rPr>
          <w:sz w:val="24"/>
          <w:szCs w:val="24"/>
        </w:rPr>
        <w:t xml:space="preserve"> отчётн</w:t>
      </w:r>
      <w:r w:rsidR="00CE4C68">
        <w:rPr>
          <w:sz w:val="24"/>
          <w:szCs w:val="24"/>
        </w:rPr>
        <w:t>ая</w:t>
      </w:r>
      <w:r w:rsidRPr="00CB463B">
        <w:rPr>
          <w:sz w:val="24"/>
          <w:szCs w:val="24"/>
        </w:rPr>
        <w:t xml:space="preserve"> форм</w:t>
      </w:r>
      <w:r w:rsidR="00CE4C68">
        <w:rPr>
          <w:sz w:val="24"/>
          <w:szCs w:val="24"/>
        </w:rPr>
        <w:t>а</w:t>
      </w:r>
      <w:r w:rsidRPr="00CB463B">
        <w:rPr>
          <w:sz w:val="24"/>
          <w:szCs w:val="24"/>
        </w:rPr>
        <w:t xml:space="preserve"> каждой компании группы.</w:t>
      </w:r>
      <w:r w:rsidR="003C33AB">
        <w:rPr>
          <w:sz w:val="24"/>
          <w:szCs w:val="24"/>
        </w:rPr>
        <w:t xml:space="preserve"> Если в компании в исследуемом периоде числились специалисты, работающие по совместительству и / или договорам ГПХ, то можно учитывать их среднее число за год и суммировать со средней численностью штатных специалистов.</w:t>
      </w:r>
    </w:p>
    <w:p w14:paraId="6675C28E" w14:textId="77777777" w:rsidR="00587AB2" w:rsidRDefault="00587AB2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19D62658" w14:textId="6A4FC976" w:rsidR="008974B2" w:rsidRDefault="008974B2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8974B2">
        <w:rPr>
          <w:bCs/>
          <w:sz w:val="24"/>
          <w:szCs w:val="24"/>
        </w:rPr>
        <w:t xml:space="preserve">Заверяя анкету, участник подтверждает право организатора </w:t>
      </w:r>
      <w:r w:rsidR="00114DC0">
        <w:rPr>
          <w:bCs/>
          <w:sz w:val="24"/>
          <w:szCs w:val="24"/>
        </w:rPr>
        <w:t xml:space="preserve">рэнкингов </w:t>
      </w:r>
      <w:r w:rsidRPr="008974B2">
        <w:rPr>
          <w:bCs/>
          <w:sz w:val="24"/>
          <w:szCs w:val="24"/>
        </w:rPr>
        <w:t>получить из иных источников</w:t>
      </w:r>
      <w:r w:rsidR="00114DC0">
        <w:rPr>
          <w:bCs/>
          <w:sz w:val="24"/>
          <w:szCs w:val="24"/>
        </w:rPr>
        <w:t xml:space="preserve"> (</w:t>
      </w:r>
      <w:r w:rsidRPr="008974B2">
        <w:rPr>
          <w:bCs/>
          <w:sz w:val="24"/>
          <w:szCs w:val="24"/>
        </w:rPr>
        <w:t>в том числе государственных</w:t>
      </w:r>
      <w:r w:rsidR="00114DC0">
        <w:rPr>
          <w:bCs/>
          <w:sz w:val="24"/>
          <w:szCs w:val="24"/>
        </w:rPr>
        <w:t>)</w:t>
      </w:r>
      <w:r w:rsidRPr="008974B2">
        <w:rPr>
          <w:bCs/>
          <w:sz w:val="24"/>
          <w:szCs w:val="24"/>
        </w:rPr>
        <w:t>, информацию, подтверждающую сведения, направленные для рэнкинга и публикации. При расхождении показателей</w:t>
      </w:r>
      <w:r w:rsidR="0030474A">
        <w:rPr>
          <w:bCs/>
          <w:sz w:val="24"/>
          <w:szCs w:val="24"/>
        </w:rPr>
        <w:t>,</w:t>
      </w:r>
      <w:r w:rsidRPr="008974B2">
        <w:rPr>
          <w:bCs/>
          <w:sz w:val="24"/>
          <w:szCs w:val="24"/>
        </w:rPr>
        <w:t xml:space="preserve"> в сравнении с другими источниками</w:t>
      </w:r>
      <w:r w:rsidR="0030474A">
        <w:rPr>
          <w:bCs/>
          <w:sz w:val="24"/>
          <w:szCs w:val="24"/>
        </w:rPr>
        <w:t>,</w:t>
      </w:r>
      <w:r w:rsidRPr="008974B2">
        <w:rPr>
          <w:bCs/>
          <w:sz w:val="24"/>
          <w:szCs w:val="24"/>
        </w:rPr>
        <w:t xml:space="preserve"> и </w:t>
      </w:r>
      <w:r w:rsidR="0030474A">
        <w:rPr>
          <w:bCs/>
          <w:sz w:val="24"/>
          <w:szCs w:val="24"/>
        </w:rPr>
        <w:t xml:space="preserve">при </w:t>
      </w:r>
      <w:r w:rsidRPr="008974B2">
        <w:rPr>
          <w:bCs/>
          <w:sz w:val="24"/>
          <w:szCs w:val="24"/>
        </w:rPr>
        <w:t>отсутствии пояснений со стороны участника организатор вправе отказать в предоставлении услуги или опровергнуть опубликованные данные (если искажение выявлено после публикации рэнкинга).</w:t>
      </w:r>
    </w:p>
    <w:p w14:paraId="0A3F1202" w14:textId="77777777" w:rsidR="0010655B" w:rsidRDefault="0010655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28127909" w14:textId="633A1286" w:rsidR="0092038C" w:rsidRDefault="0092038C" w:rsidP="00DB264E">
      <w:pPr>
        <w:pStyle w:val="2"/>
        <w:shd w:val="clear" w:color="auto" w:fill="BFBFBF" w:themeFill="background1" w:themeFillShade="BF"/>
        <w:jc w:val="center"/>
        <w:rPr>
          <w:b w:val="0"/>
          <w:sz w:val="32"/>
          <w:szCs w:val="32"/>
        </w:rPr>
      </w:pPr>
      <w:bookmarkStart w:id="1" w:name="_Toc121324929"/>
      <w:r w:rsidRPr="0092038C">
        <w:rPr>
          <w:b w:val="0"/>
          <w:sz w:val="32"/>
          <w:szCs w:val="32"/>
        </w:rPr>
        <w:lastRenderedPageBreak/>
        <w:t>Консолидированная информация</w:t>
      </w:r>
      <w:bookmarkEnd w:id="1"/>
    </w:p>
    <w:p w14:paraId="32F532F2" w14:textId="59E9B279" w:rsidR="00F351EE" w:rsidRDefault="00F351EE" w:rsidP="00F351EE">
      <w:pPr>
        <w:jc w:val="both"/>
        <w:rPr>
          <w:b/>
          <w:bCs/>
          <w:sz w:val="24"/>
          <w:szCs w:val="24"/>
        </w:rPr>
      </w:pPr>
      <w:r w:rsidRPr="002F3665">
        <w:rPr>
          <w:sz w:val="24"/>
          <w:szCs w:val="24"/>
        </w:rPr>
        <w:t xml:space="preserve">Если в рейтинге позиционируется группа, то в анкете приводятся консолидированные (суммарные) показатели </w:t>
      </w:r>
      <w:r w:rsidR="00CA6042">
        <w:rPr>
          <w:sz w:val="24"/>
          <w:szCs w:val="24"/>
        </w:rPr>
        <w:t xml:space="preserve">её </w:t>
      </w:r>
      <w:r w:rsidRPr="002F3665">
        <w:rPr>
          <w:sz w:val="24"/>
          <w:szCs w:val="24"/>
        </w:rPr>
        <w:t>участников</w:t>
      </w:r>
      <w:r w:rsidR="00CA6042">
        <w:rPr>
          <w:sz w:val="24"/>
          <w:szCs w:val="24"/>
        </w:rPr>
        <w:t>.</w:t>
      </w:r>
      <w:r w:rsidRPr="002F3665">
        <w:rPr>
          <w:sz w:val="24"/>
          <w:szCs w:val="24"/>
        </w:rPr>
        <w:t xml:space="preserve"> </w:t>
      </w:r>
      <w:r w:rsidR="00CA6042">
        <w:rPr>
          <w:b/>
          <w:sz w:val="24"/>
          <w:szCs w:val="24"/>
        </w:rPr>
        <w:t>С</w:t>
      </w:r>
      <w:r w:rsidRPr="002F3665">
        <w:rPr>
          <w:b/>
          <w:sz w:val="24"/>
          <w:szCs w:val="24"/>
        </w:rPr>
        <w:t xml:space="preserve">уммарный доход от </w:t>
      </w:r>
      <w:r w:rsidR="00DE117B">
        <w:rPr>
          <w:b/>
          <w:sz w:val="24"/>
          <w:szCs w:val="24"/>
        </w:rPr>
        <w:t>аутсорсинга учёта</w:t>
      </w:r>
      <w:r w:rsidR="00DE117B" w:rsidRPr="00AD3B1F">
        <w:rPr>
          <w:b/>
          <w:sz w:val="24"/>
          <w:szCs w:val="24"/>
        </w:rPr>
        <w:t>, отражаемый в анкете, не должен включать выручку от другой деятельности</w:t>
      </w:r>
      <w:r w:rsidRPr="002F3665">
        <w:rPr>
          <w:sz w:val="24"/>
          <w:szCs w:val="24"/>
        </w:rPr>
        <w:t>.</w:t>
      </w:r>
    </w:p>
    <w:p w14:paraId="4A9872E5" w14:textId="77777777" w:rsidR="00F351EE" w:rsidRDefault="00F351EE" w:rsidP="00F351EE">
      <w:pPr>
        <w:jc w:val="both"/>
        <w:rPr>
          <w:b/>
          <w:bCs/>
          <w:sz w:val="24"/>
          <w:szCs w:val="24"/>
        </w:rPr>
      </w:pPr>
    </w:p>
    <w:p w14:paraId="729509CC" w14:textId="11F0A4DD" w:rsidR="0092038C" w:rsidRDefault="00114DC0" w:rsidP="00F351EE">
      <w:pPr>
        <w:jc w:val="both"/>
        <w:rPr>
          <w:sz w:val="24"/>
          <w:szCs w:val="24"/>
          <w:shd w:val="clear" w:color="auto" w:fill="D9D9D9"/>
        </w:rPr>
      </w:pPr>
      <w:r w:rsidRPr="00E178B1">
        <w:rPr>
          <w:b/>
          <w:bCs/>
          <w:sz w:val="24"/>
          <w:szCs w:val="24"/>
        </w:rPr>
        <w:t>Название группы</w:t>
      </w:r>
      <w:r w:rsidRPr="00E178B1">
        <w:rPr>
          <w:bCs/>
          <w:sz w:val="24"/>
          <w:szCs w:val="24"/>
        </w:rPr>
        <w:t xml:space="preserve"> приводится в соответствии с наименованием </w:t>
      </w:r>
      <w:r>
        <w:rPr>
          <w:bCs/>
          <w:sz w:val="24"/>
          <w:szCs w:val="24"/>
        </w:rPr>
        <w:t xml:space="preserve">её </w:t>
      </w:r>
      <w:r w:rsidRPr="00E178B1">
        <w:rPr>
          <w:bCs/>
          <w:sz w:val="24"/>
          <w:szCs w:val="24"/>
        </w:rPr>
        <w:t xml:space="preserve">головной организации или </w:t>
      </w:r>
      <w:r w:rsidRPr="00E178B1">
        <w:rPr>
          <w:b/>
          <w:bCs/>
          <w:sz w:val="24"/>
          <w:szCs w:val="24"/>
        </w:rPr>
        <w:t>зарегистрированной торговой маркой</w:t>
      </w:r>
      <w:r w:rsidRPr="00E178B1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организатор вправе </w:t>
      </w:r>
      <w:r w:rsidR="00F351EE">
        <w:rPr>
          <w:bCs/>
          <w:sz w:val="24"/>
          <w:szCs w:val="24"/>
        </w:rPr>
        <w:t>привести в</w:t>
      </w:r>
      <w:r w:rsidRPr="00E178B1">
        <w:rPr>
          <w:bCs/>
          <w:sz w:val="24"/>
          <w:szCs w:val="24"/>
        </w:rPr>
        <w:t xml:space="preserve"> рэнкинге сноск</w:t>
      </w:r>
      <w:r>
        <w:rPr>
          <w:bCs/>
          <w:sz w:val="24"/>
          <w:szCs w:val="24"/>
        </w:rPr>
        <w:t>у</w:t>
      </w:r>
      <w:r w:rsidRPr="00E178B1">
        <w:rPr>
          <w:bCs/>
          <w:sz w:val="24"/>
          <w:szCs w:val="24"/>
        </w:rPr>
        <w:t xml:space="preserve"> о на</w:t>
      </w:r>
      <w:r w:rsidR="00F351EE">
        <w:rPr>
          <w:bCs/>
          <w:sz w:val="24"/>
          <w:szCs w:val="24"/>
        </w:rPr>
        <w:t>звании</w:t>
      </w:r>
      <w:r w:rsidRPr="00E178B1">
        <w:rPr>
          <w:bCs/>
          <w:sz w:val="24"/>
          <w:szCs w:val="24"/>
        </w:rPr>
        <w:t xml:space="preserve"> головной организации, владеющей торговой маркой). Допускается участие </w:t>
      </w:r>
      <w:r w:rsidR="008A09BB">
        <w:rPr>
          <w:bCs/>
          <w:sz w:val="24"/>
          <w:szCs w:val="24"/>
        </w:rPr>
        <w:t xml:space="preserve">под </w:t>
      </w:r>
      <w:r w:rsidRPr="00E178B1">
        <w:rPr>
          <w:bCs/>
          <w:sz w:val="24"/>
          <w:szCs w:val="24"/>
        </w:rPr>
        <w:t xml:space="preserve">названием </w:t>
      </w:r>
      <w:r w:rsidR="008A09BB">
        <w:rPr>
          <w:bCs/>
          <w:sz w:val="24"/>
          <w:szCs w:val="24"/>
        </w:rPr>
        <w:t xml:space="preserve">управляющей </w:t>
      </w:r>
      <w:r w:rsidRPr="00E178B1">
        <w:rPr>
          <w:bCs/>
          <w:sz w:val="24"/>
          <w:szCs w:val="24"/>
        </w:rPr>
        <w:t xml:space="preserve">компании, созданной собственниками с целью управления компаниями </w:t>
      </w:r>
      <w:r w:rsidR="008A09BB">
        <w:rPr>
          <w:bCs/>
          <w:sz w:val="24"/>
          <w:szCs w:val="24"/>
        </w:rPr>
        <w:t xml:space="preserve">рассматриваемой </w:t>
      </w:r>
      <w:r w:rsidRPr="00E178B1">
        <w:rPr>
          <w:bCs/>
          <w:sz w:val="24"/>
          <w:szCs w:val="24"/>
        </w:rPr>
        <w:t>группы.</w:t>
      </w:r>
      <w:r w:rsidR="008A09BB">
        <w:rPr>
          <w:bCs/>
          <w:sz w:val="24"/>
          <w:szCs w:val="24"/>
        </w:rPr>
        <w:t xml:space="preserve"> </w:t>
      </w:r>
      <w:r w:rsidR="0092038C">
        <w:rPr>
          <w:sz w:val="24"/>
          <w:szCs w:val="24"/>
        </w:rPr>
        <w:t xml:space="preserve">При позиционировании </w:t>
      </w:r>
      <w:r w:rsidR="0092038C" w:rsidRPr="00F21C61">
        <w:rPr>
          <w:sz w:val="24"/>
          <w:szCs w:val="24"/>
        </w:rPr>
        <w:t>групп</w:t>
      </w:r>
      <w:r w:rsidR="0092038C">
        <w:rPr>
          <w:sz w:val="24"/>
          <w:szCs w:val="24"/>
        </w:rPr>
        <w:t>ы</w:t>
      </w:r>
      <w:r w:rsidR="0092038C" w:rsidRPr="00F21C61">
        <w:rPr>
          <w:sz w:val="24"/>
          <w:szCs w:val="24"/>
        </w:rPr>
        <w:t xml:space="preserve"> е</w:t>
      </w:r>
      <w:r w:rsidR="0092038C">
        <w:rPr>
          <w:sz w:val="24"/>
          <w:szCs w:val="24"/>
        </w:rPr>
        <w:t>ё</w:t>
      </w:r>
      <w:r w:rsidR="0092038C" w:rsidRPr="00F21C61">
        <w:rPr>
          <w:sz w:val="24"/>
          <w:szCs w:val="24"/>
        </w:rPr>
        <w:t xml:space="preserve"> головная </w:t>
      </w:r>
      <w:r w:rsidR="009F71AA">
        <w:rPr>
          <w:sz w:val="24"/>
          <w:szCs w:val="24"/>
        </w:rPr>
        <w:t>(</w:t>
      </w:r>
      <w:r w:rsidR="0092038C">
        <w:rPr>
          <w:sz w:val="24"/>
          <w:szCs w:val="24"/>
        </w:rPr>
        <w:t>или управляющая</w:t>
      </w:r>
      <w:r w:rsidR="009F71AA">
        <w:rPr>
          <w:sz w:val="24"/>
          <w:szCs w:val="24"/>
        </w:rPr>
        <w:t>)</w:t>
      </w:r>
      <w:r w:rsidR="0092038C">
        <w:rPr>
          <w:sz w:val="24"/>
          <w:szCs w:val="24"/>
        </w:rPr>
        <w:t xml:space="preserve"> </w:t>
      </w:r>
      <w:r w:rsidR="0092038C" w:rsidRPr="00F21C61">
        <w:rPr>
          <w:sz w:val="24"/>
          <w:szCs w:val="24"/>
        </w:rPr>
        <w:t>компания</w:t>
      </w:r>
      <w:r w:rsidR="0092038C">
        <w:rPr>
          <w:sz w:val="24"/>
          <w:szCs w:val="24"/>
        </w:rPr>
        <w:t xml:space="preserve"> </w:t>
      </w:r>
      <w:r w:rsidR="0092038C" w:rsidRPr="00F21C61">
        <w:rPr>
          <w:sz w:val="24"/>
          <w:szCs w:val="24"/>
        </w:rPr>
        <w:t xml:space="preserve">предоставляет </w:t>
      </w:r>
      <w:r w:rsidR="0092038C">
        <w:rPr>
          <w:sz w:val="24"/>
          <w:szCs w:val="24"/>
        </w:rPr>
        <w:t xml:space="preserve">по электронной почте </w:t>
      </w:r>
      <w:r w:rsidR="0092038C" w:rsidRPr="00F21C61">
        <w:rPr>
          <w:sz w:val="24"/>
          <w:szCs w:val="24"/>
        </w:rPr>
        <w:t xml:space="preserve">от имени группы </w:t>
      </w:r>
      <w:r w:rsidR="0092038C">
        <w:rPr>
          <w:sz w:val="24"/>
          <w:szCs w:val="24"/>
        </w:rPr>
        <w:t xml:space="preserve">подтверждающие документы </w:t>
      </w:r>
      <w:r w:rsidR="0092038C" w:rsidRPr="00F21C61">
        <w:rPr>
          <w:sz w:val="24"/>
          <w:szCs w:val="24"/>
        </w:rPr>
        <w:t>всех компаний, выручка которых консолидирована в анкете</w:t>
      </w:r>
      <w:r w:rsidR="0092038C">
        <w:rPr>
          <w:sz w:val="24"/>
          <w:szCs w:val="24"/>
        </w:rPr>
        <w:t xml:space="preserve">; </w:t>
      </w:r>
      <w:r w:rsidR="0092038C" w:rsidRPr="00F21C61">
        <w:rPr>
          <w:sz w:val="24"/>
          <w:szCs w:val="24"/>
        </w:rPr>
        <w:t>бер</w:t>
      </w:r>
      <w:r w:rsidR="0092038C">
        <w:rPr>
          <w:sz w:val="24"/>
          <w:szCs w:val="24"/>
        </w:rPr>
        <w:t>ё</w:t>
      </w:r>
      <w:r w:rsidR="0092038C" w:rsidRPr="00F21C61">
        <w:rPr>
          <w:sz w:val="24"/>
          <w:szCs w:val="24"/>
        </w:rPr>
        <w:t>т на себя право заверять данные по группе</w:t>
      </w:r>
      <w:r w:rsidR="0092038C">
        <w:rPr>
          <w:sz w:val="24"/>
          <w:szCs w:val="24"/>
        </w:rPr>
        <w:t xml:space="preserve">; </w:t>
      </w:r>
      <w:r w:rsidR="0092038C" w:rsidRPr="00F21C61">
        <w:rPr>
          <w:sz w:val="24"/>
          <w:szCs w:val="24"/>
        </w:rPr>
        <w:t>нес</w:t>
      </w:r>
      <w:r w:rsidR="0092038C">
        <w:rPr>
          <w:sz w:val="24"/>
          <w:szCs w:val="24"/>
        </w:rPr>
        <w:t>ё</w:t>
      </w:r>
      <w:r w:rsidR="0092038C" w:rsidRPr="00F21C61">
        <w:rPr>
          <w:sz w:val="24"/>
          <w:szCs w:val="24"/>
        </w:rPr>
        <w:t>т ответственность за достоверность предоставленных сведений.</w:t>
      </w:r>
    </w:p>
    <w:p w14:paraId="5AA5C5C7" w14:textId="039876C0" w:rsidR="0092038C" w:rsidRDefault="0092038C" w:rsidP="0092038C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48AB955" w14:textId="6805D40C" w:rsidR="0092038C" w:rsidRPr="00736695" w:rsidRDefault="00DE117B" w:rsidP="00DE117B">
      <w:pPr>
        <w:spacing w:after="200"/>
        <w:contextualSpacing/>
        <w:jc w:val="both"/>
        <w:rPr>
          <w:bCs/>
          <w:sz w:val="24"/>
          <w:szCs w:val="24"/>
        </w:rPr>
      </w:pPr>
      <w:r w:rsidRPr="003B07E3">
        <w:rPr>
          <w:sz w:val="24"/>
          <w:szCs w:val="24"/>
        </w:rPr>
        <w:t xml:space="preserve">Участие группы допускается, если она соответствует любому из перечисленных </w:t>
      </w:r>
      <w:r w:rsidRPr="00DE117B">
        <w:rPr>
          <w:b/>
          <w:sz w:val="24"/>
          <w:szCs w:val="24"/>
        </w:rPr>
        <w:t>критериев зависимости (аффилированности), учитываемых в рамках рэнкинга</w:t>
      </w:r>
      <w:r>
        <w:rPr>
          <w:sz w:val="24"/>
          <w:szCs w:val="24"/>
        </w:rPr>
        <w:t xml:space="preserve">: </w:t>
      </w:r>
      <w:r w:rsidR="006F791B">
        <w:rPr>
          <w:sz w:val="24"/>
          <w:szCs w:val="24"/>
        </w:rPr>
        <w:t xml:space="preserve">наличие </w:t>
      </w:r>
      <w:r w:rsidR="0092038C" w:rsidRPr="00736695">
        <w:rPr>
          <w:bCs/>
          <w:sz w:val="24"/>
          <w:szCs w:val="24"/>
        </w:rPr>
        <w:t>доч</w:t>
      </w:r>
      <w:r w:rsidR="006F791B">
        <w:rPr>
          <w:bCs/>
          <w:sz w:val="24"/>
          <w:szCs w:val="24"/>
        </w:rPr>
        <w:t>ерних и зависимых</w:t>
      </w:r>
      <w:r w:rsidR="0092038C" w:rsidRPr="00736695">
        <w:rPr>
          <w:bCs/>
          <w:sz w:val="24"/>
          <w:szCs w:val="24"/>
        </w:rPr>
        <w:t xml:space="preserve"> обществ</w:t>
      </w:r>
      <w:r w:rsidR="006F791B">
        <w:rPr>
          <w:bCs/>
          <w:sz w:val="24"/>
          <w:szCs w:val="24"/>
        </w:rPr>
        <w:t>,</w:t>
      </w:r>
      <w:r w:rsidR="0092038C" w:rsidRPr="00736695">
        <w:rPr>
          <w:bCs/>
          <w:sz w:val="24"/>
          <w:szCs w:val="24"/>
        </w:rPr>
        <w:t xml:space="preserve"> деятельность которых относится к </w:t>
      </w:r>
      <w:r>
        <w:rPr>
          <w:bCs/>
          <w:sz w:val="24"/>
          <w:szCs w:val="24"/>
        </w:rPr>
        <w:t>аутсорсингу учёта</w:t>
      </w:r>
      <w:r w:rsidR="00F351EE">
        <w:rPr>
          <w:bCs/>
          <w:sz w:val="24"/>
          <w:szCs w:val="24"/>
        </w:rPr>
        <w:t>,</w:t>
      </w:r>
      <w:r w:rsidR="0092038C" w:rsidRPr="00736695">
        <w:rPr>
          <w:bCs/>
          <w:sz w:val="24"/>
          <w:szCs w:val="24"/>
        </w:rPr>
        <w:t xml:space="preserve"> с долей в головной или в управляющей компании от 20% и более;</w:t>
      </w:r>
      <w:r w:rsidR="00D400DB">
        <w:rPr>
          <w:bCs/>
          <w:sz w:val="24"/>
          <w:szCs w:val="24"/>
        </w:rPr>
        <w:t xml:space="preserve"> </w:t>
      </w:r>
      <w:r w:rsidR="0092038C" w:rsidRPr="00736695">
        <w:rPr>
          <w:bCs/>
          <w:sz w:val="24"/>
          <w:szCs w:val="24"/>
        </w:rPr>
        <w:t>учредитель или совладелец (</w:t>
      </w:r>
      <w:r w:rsidR="00F351EE">
        <w:rPr>
          <w:bCs/>
          <w:sz w:val="24"/>
          <w:szCs w:val="24"/>
        </w:rPr>
        <w:t xml:space="preserve">доля не менее </w:t>
      </w:r>
      <w:r w:rsidR="0092038C" w:rsidRPr="00736695">
        <w:rPr>
          <w:bCs/>
          <w:sz w:val="24"/>
          <w:szCs w:val="24"/>
        </w:rPr>
        <w:t>20%) головной компании является учредителем или совладельцем (</w:t>
      </w:r>
      <w:r w:rsidR="0092038C">
        <w:rPr>
          <w:bCs/>
          <w:sz w:val="24"/>
          <w:szCs w:val="24"/>
        </w:rPr>
        <w:t xml:space="preserve">от </w:t>
      </w:r>
      <w:r w:rsidR="0092038C" w:rsidRPr="00736695">
        <w:rPr>
          <w:bCs/>
          <w:sz w:val="24"/>
          <w:szCs w:val="24"/>
        </w:rPr>
        <w:t>20%) других компаний</w:t>
      </w:r>
      <w:r>
        <w:rPr>
          <w:bCs/>
          <w:sz w:val="24"/>
          <w:szCs w:val="24"/>
        </w:rPr>
        <w:t xml:space="preserve"> аутсорсинга</w:t>
      </w:r>
      <w:r w:rsidR="0092038C" w:rsidRPr="00736695">
        <w:rPr>
          <w:bCs/>
          <w:sz w:val="24"/>
          <w:szCs w:val="24"/>
        </w:rPr>
        <w:t>;</w:t>
      </w:r>
      <w:r w:rsidR="00D400DB">
        <w:rPr>
          <w:bCs/>
          <w:sz w:val="24"/>
          <w:szCs w:val="24"/>
        </w:rPr>
        <w:t xml:space="preserve"> </w:t>
      </w:r>
      <w:r w:rsidR="0092038C" w:rsidRPr="00736695">
        <w:rPr>
          <w:bCs/>
          <w:sz w:val="24"/>
          <w:szCs w:val="24"/>
        </w:rPr>
        <w:t>учредитель или совладелец головной компании (</w:t>
      </w:r>
      <w:r w:rsidR="0092038C">
        <w:rPr>
          <w:bCs/>
          <w:sz w:val="24"/>
          <w:szCs w:val="24"/>
        </w:rPr>
        <w:t xml:space="preserve">от </w:t>
      </w:r>
      <w:r w:rsidR="0092038C" w:rsidRPr="00736695">
        <w:rPr>
          <w:bCs/>
          <w:sz w:val="24"/>
          <w:szCs w:val="24"/>
        </w:rPr>
        <w:t>20%) является единоличным исполнительным органом других</w:t>
      </w:r>
      <w:r w:rsidR="00F351EE">
        <w:rPr>
          <w:bCs/>
          <w:sz w:val="24"/>
          <w:szCs w:val="24"/>
        </w:rPr>
        <w:t xml:space="preserve"> </w:t>
      </w:r>
      <w:r w:rsidR="0092038C" w:rsidRPr="00736695">
        <w:rPr>
          <w:bCs/>
          <w:sz w:val="24"/>
          <w:szCs w:val="24"/>
        </w:rPr>
        <w:t>компаний</w:t>
      </w:r>
      <w:r>
        <w:rPr>
          <w:bCs/>
          <w:sz w:val="24"/>
          <w:szCs w:val="24"/>
        </w:rPr>
        <w:t xml:space="preserve"> аутсорсинга</w:t>
      </w:r>
      <w:r w:rsidR="0092038C" w:rsidRPr="00736695">
        <w:rPr>
          <w:bCs/>
          <w:sz w:val="24"/>
          <w:szCs w:val="24"/>
        </w:rPr>
        <w:t>;</w:t>
      </w:r>
      <w:r w:rsidR="00D400DB">
        <w:rPr>
          <w:bCs/>
          <w:sz w:val="24"/>
          <w:szCs w:val="24"/>
        </w:rPr>
        <w:t xml:space="preserve"> </w:t>
      </w:r>
      <w:r w:rsidR="0092038C" w:rsidRPr="00736695">
        <w:rPr>
          <w:bCs/>
          <w:sz w:val="24"/>
          <w:szCs w:val="24"/>
        </w:rPr>
        <w:t xml:space="preserve">единоличный исполнительный орган головной компании является </w:t>
      </w:r>
      <w:r w:rsidR="0092038C">
        <w:rPr>
          <w:bCs/>
          <w:sz w:val="24"/>
          <w:szCs w:val="24"/>
        </w:rPr>
        <w:t xml:space="preserve">действующим </w:t>
      </w:r>
      <w:r w:rsidR="0092038C" w:rsidRPr="00736695">
        <w:rPr>
          <w:bCs/>
          <w:sz w:val="24"/>
          <w:szCs w:val="24"/>
        </w:rPr>
        <w:t>единоличным исполнительным органом</w:t>
      </w:r>
      <w:r w:rsidR="0092038C">
        <w:rPr>
          <w:bCs/>
          <w:sz w:val="24"/>
          <w:szCs w:val="24"/>
        </w:rPr>
        <w:t xml:space="preserve">, </w:t>
      </w:r>
      <w:r w:rsidR="0092038C" w:rsidRPr="002F3665">
        <w:rPr>
          <w:sz w:val="24"/>
          <w:szCs w:val="24"/>
        </w:rPr>
        <w:t>или учредителем</w:t>
      </w:r>
      <w:r w:rsidR="00F351EE">
        <w:rPr>
          <w:sz w:val="24"/>
          <w:szCs w:val="24"/>
        </w:rPr>
        <w:t xml:space="preserve">, или </w:t>
      </w:r>
      <w:r w:rsidR="0092038C" w:rsidRPr="002F3665">
        <w:rPr>
          <w:sz w:val="24"/>
          <w:szCs w:val="24"/>
        </w:rPr>
        <w:t>совладельцем (</w:t>
      </w:r>
      <w:r w:rsidR="0092038C">
        <w:rPr>
          <w:sz w:val="24"/>
          <w:szCs w:val="24"/>
        </w:rPr>
        <w:t xml:space="preserve">от </w:t>
      </w:r>
      <w:r w:rsidR="0092038C" w:rsidRPr="002F3665">
        <w:rPr>
          <w:sz w:val="24"/>
          <w:szCs w:val="24"/>
        </w:rPr>
        <w:t>20%)</w:t>
      </w:r>
      <w:r w:rsidR="0092038C" w:rsidRPr="00736695">
        <w:rPr>
          <w:bCs/>
          <w:sz w:val="24"/>
          <w:szCs w:val="24"/>
        </w:rPr>
        <w:t xml:space="preserve"> других компани</w:t>
      </w:r>
      <w:r w:rsidR="00D400DB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в сфере аутсорсинга учётных функций</w:t>
      </w:r>
      <w:r w:rsidR="0092038C" w:rsidRPr="00736695">
        <w:rPr>
          <w:bCs/>
          <w:sz w:val="24"/>
          <w:szCs w:val="24"/>
        </w:rPr>
        <w:t>.</w:t>
      </w:r>
    </w:p>
    <w:p w14:paraId="540A7AD8" w14:textId="77777777" w:rsidR="00DE117B" w:rsidRDefault="00DE117B" w:rsidP="00DE117B">
      <w:pPr>
        <w:contextualSpacing/>
        <w:jc w:val="both"/>
        <w:rPr>
          <w:sz w:val="24"/>
          <w:szCs w:val="24"/>
        </w:rPr>
      </w:pPr>
    </w:p>
    <w:p w14:paraId="75B77FE1" w14:textId="1BE7F0AD" w:rsidR="00DE117B" w:rsidRPr="006327DD" w:rsidRDefault="00DE117B" w:rsidP="00DE117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участии группы в</w:t>
      </w:r>
      <w:r w:rsidRPr="006327DD">
        <w:rPr>
          <w:sz w:val="24"/>
          <w:szCs w:val="24"/>
        </w:rPr>
        <w:t xml:space="preserve"> анкете </w:t>
      </w:r>
      <w:r w:rsidRPr="006327DD">
        <w:rPr>
          <w:b/>
          <w:bCs/>
          <w:sz w:val="24"/>
          <w:szCs w:val="24"/>
        </w:rPr>
        <w:t>нужно указать признак зависимости компаний</w:t>
      </w:r>
      <w:r w:rsidRPr="006327DD">
        <w:rPr>
          <w:b/>
          <w:sz w:val="24"/>
          <w:szCs w:val="24"/>
        </w:rPr>
        <w:t xml:space="preserve">. </w:t>
      </w:r>
      <w:r w:rsidRPr="006327DD">
        <w:rPr>
          <w:sz w:val="24"/>
          <w:szCs w:val="24"/>
        </w:rPr>
        <w:t>Организатор проверяет состав группы и вправе запросить любую информацию, подтверждающую зависимость компаний. Отказ от предоставления информации да</w:t>
      </w:r>
      <w:r>
        <w:rPr>
          <w:sz w:val="24"/>
          <w:szCs w:val="24"/>
        </w:rPr>
        <w:t>ё</w:t>
      </w:r>
      <w:r w:rsidRPr="006327DD">
        <w:rPr>
          <w:sz w:val="24"/>
          <w:szCs w:val="24"/>
        </w:rPr>
        <w:t>т организатору право не учитывать показатели группы или отдельных е</w:t>
      </w:r>
      <w:r>
        <w:rPr>
          <w:sz w:val="24"/>
          <w:szCs w:val="24"/>
        </w:rPr>
        <w:t>ё</w:t>
      </w:r>
      <w:r w:rsidRPr="006327DD">
        <w:rPr>
          <w:sz w:val="24"/>
          <w:szCs w:val="24"/>
        </w:rPr>
        <w:t xml:space="preserve"> компаний. </w:t>
      </w:r>
      <w:r>
        <w:rPr>
          <w:sz w:val="24"/>
          <w:szCs w:val="24"/>
        </w:rPr>
        <w:t>Компания</w:t>
      </w:r>
      <w:r w:rsidRPr="006327DD">
        <w:rPr>
          <w:sz w:val="24"/>
          <w:szCs w:val="24"/>
        </w:rPr>
        <w:t xml:space="preserve"> не может быть участником более чем одной группы.</w:t>
      </w:r>
    </w:p>
    <w:p w14:paraId="405ECD96" w14:textId="77777777" w:rsidR="00DE117B" w:rsidRDefault="00DE117B" w:rsidP="0092038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8F4ADD3" w14:textId="17FFC77D" w:rsidR="0092038C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F21C61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при </w:t>
      </w:r>
      <w:r w:rsidRPr="00F21C61">
        <w:rPr>
          <w:sz w:val="24"/>
          <w:szCs w:val="24"/>
        </w:rPr>
        <w:t>проверк</w:t>
      </w:r>
      <w:r>
        <w:rPr>
          <w:sz w:val="24"/>
          <w:szCs w:val="24"/>
        </w:rPr>
        <w:t>е</w:t>
      </w:r>
      <w:r w:rsidRPr="00F21C61">
        <w:rPr>
          <w:sz w:val="24"/>
          <w:szCs w:val="24"/>
        </w:rPr>
        <w:t xml:space="preserve"> выручк</w:t>
      </w:r>
      <w:r>
        <w:rPr>
          <w:sz w:val="24"/>
          <w:szCs w:val="24"/>
        </w:rPr>
        <w:t>и</w:t>
      </w:r>
      <w:r w:rsidRPr="00F21C61">
        <w:rPr>
          <w:sz w:val="24"/>
          <w:szCs w:val="24"/>
        </w:rPr>
        <w:t xml:space="preserve"> организатор </w:t>
      </w:r>
      <w:r>
        <w:rPr>
          <w:sz w:val="24"/>
          <w:szCs w:val="24"/>
        </w:rPr>
        <w:t>находит</w:t>
      </w:r>
      <w:r w:rsidRPr="00F21C61">
        <w:rPr>
          <w:sz w:val="24"/>
          <w:szCs w:val="24"/>
        </w:rPr>
        <w:t xml:space="preserve"> существенные отличия, указывающие на </w:t>
      </w:r>
      <w:r>
        <w:rPr>
          <w:sz w:val="24"/>
          <w:szCs w:val="24"/>
        </w:rPr>
        <w:t xml:space="preserve">искажение данных со стороны </w:t>
      </w:r>
      <w:r w:rsidRPr="00F21C61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а, </w:t>
      </w:r>
      <w:r w:rsidRPr="00F21C61">
        <w:rPr>
          <w:sz w:val="24"/>
          <w:szCs w:val="24"/>
        </w:rPr>
        <w:t xml:space="preserve">то он вправе отказать в предоставлении </w:t>
      </w:r>
      <w:r>
        <w:rPr>
          <w:sz w:val="24"/>
          <w:szCs w:val="24"/>
        </w:rPr>
        <w:t xml:space="preserve">своих </w:t>
      </w:r>
      <w:r w:rsidRPr="00F21C61">
        <w:rPr>
          <w:sz w:val="24"/>
          <w:szCs w:val="24"/>
        </w:rPr>
        <w:t>услуг</w:t>
      </w:r>
      <w:r>
        <w:rPr>
          <w:sz w:val="24"/>
          <w:szCs w:val="24"/>
        </w:rPr>
        <w:t xml:space="preserve"> в связи с </w:t>
      </w:r>
      <w:r w:rsidRPr="00F21C61">
        <w:rPr>
          <w:sz w:val="24"/>
          <w:szCs w:val="24"/>
        </w:rPr>
        <w:t>несоответствие</w:t>
      </w:r>
      <w:r>
        <w:rPr>
          <w:sz w:val="24"/>
          <w:szCs w:val="24"/>
        </w:rPr>
        <w:t>м</w:t>
      </w:r>
      <w:r w:rsidRPr="00F21C61">
        <w:rPr>
          <w:sz w:val="24"/>
          <w:szCs w:val="24"/>
        </w:rPr>
        <w:t xml:space="preserve"> предоставляемой информации методике и условиям участия.</w:t>
      </w:r>
      <w:r>
        <w:rPr>
          <w:sz w:val="24"/>
          <w:szCs w:val="24"/>
        </w:rPr>
        <w:t xml:space="preserve"> Если преднамеренное искажение информации выявлено организатором после размещения рэнкингов, </w:t>
      </w:r>
      <w:r w:rsidRPr="006327DD">
        <w:rPr>
          <w:bCs/>
          <w:sz w:val="24"/>
          <w:szCs w:val="24"/>
        </w:rPr>
        <w:t>то опубликованн</w:t>
      </w:r>
      <w:r>
        <w:rPr>
          <w:bCs/>
          <w:sz w:val="24"/>
          <w:szCs w:val="24"/>
        </w:rPr>
        <w:t>ые</w:t>
      </w:r>
      <w:r w:rsidRPr="006327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сведения оп</w:t>
      </w:r>
      <w:r w:rsidRPr="006327DD">
        <w:rPr>
          <w:bCs/>
          <w:sz w:val="24"/>
          <w:szCs w:val="24"/>
        </w:rPr>
        <w:t>роверга</w:t>
      </w:r>
      <w:r>
        <w:rPr>
          <w:bCs/>
          <w:sz w:val="24"/>
          <w:szCs w:val="24"/>
        </w:rPr>
        <w:t xml:space="preserve">ются </w:t>
      </w:r>
      <w:r w:rsidRPr="006327DD">
        <w:rPr>
          <w:bCs/>
          <w:sz w:val="24"/>
          <w:szCs w:val="24"/>
        </w:rPr>
        <w:t xml:space="preserve">и компания к участию в </w:t>
      </w:r>
      <w:r>
        <w:rPr>
          <w:bCs/>
          <w:sz w:val="24"/>
          <w:szCs w:val="24"/>
        </w:rPr>
        <w:t xml:space="preserve">следующем </w:t>
      </w:r>
      <w:r w:rsidRPr="006327DD">
        <w:rPr>
          <w:bCs/>
          <w:sz w:val="24"/>
          <w:szCs w:val="24"/>
        </w:rPr>
        <w:t>проекте не допускается</w:t>
      </w:r>
      <w:r>
        <w:rPr>
          <w:bCs/>
          <w:sz w:val="24"/>
          <w:szCs w:val="24"/>
        </w:rPr>
        <w:t>.</w:t>
      </w:r>
    </w:p>
    <w:p w14:paraId="58BAF66A" w14:textId="77777777" w:rsidR="00DE117B" w:rsidRDefault="00DE117B" w:rsidP="00F351EE">
      <w:pPr>
        <w:contextualSpacing/>
        <w:jc w:val="both"/>
        <w:rPr>
          <w:sz w:val="24"/>
          <w:szCs w:val="24"/>
        </w:rPr>
      </w:pPr>
    </w:p>
    <w:p w14:paraId="003807AD" w14:textId="7FD2617D" w:rsidR="00F351EE" w:rsidRPr="00011957" w:rsidRDefault="00F351EE" w:rsidP="00F351E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Позиционируясь группой, </w:t>
      </w:r>
      <w:r w:rsidRPr="00011957">
        <w:rPr>
          <w:sz w:val="24"/>
          <w:szCs w:val="24"/>
        </w:rPr>
        <w:t>мож</w:t>
      </w:r>
      <w:r w:rsidR="00D400DB">
        <w:rPr>
          <w:sz w:val="24"/>
          <w:szCs w:val="24"/>
        </w:rPr>
        <w:t>но</w:t>
      </w:r>
      <w:r w:rsidRPr="00011957">
        <w:rPr>
          <w:sz w:val="24"/>
          <w:szCs w:val="24"/>
        </w:rPr>
        <w:t xml:space="preserve"> учитывать </w:t>
      </w:r>
      <w:r>
        <w:rPr>
          <w:sz w:val="24"/>
          <w:szCs w:val="24"/>
        </w:rPr>
        <w:t>показатели зависимых организаций</w:t>
      </w:r>
      <w:r w:rsidRPr="00011957">
        <w:rPr>
          <w:sz w:val="24"/>
          <w:szCs w:val="24"/>
        </w:rPr>
        <w:t xml:space="preserve">, находящихся за рубежом. </w:t>
      </w:r>
      <w:r w:rsidR="00D400DB">
        <w:rPr>
          <w:sz w:val="24"/>
          <w:szCs w:val="24"/>
        </w:rPr>
        <w:t>У</w:t>
      </w:r>
      <w:r w:rsidRPr="00011957">
        <w:rPr>
          <w:sz w:val="24"/>
          <w:szCs w:val="24"/>
        </w:rPr>
        <w:t>слови</w:t>
      </w:r>
      <w:r w:rsidR="002F1CCD">
        <w:rPr>
          <w:sz w:val="24"/>
          <w:szCs w:val="24"/>
        </w:rPr>
        <w:t>ями</w:t>
      </w:r>
      <w:r w:rsidRPr="00011957">
        <w:rPr>
          <w:sz w:val="24"/>
          <w:szCs w:val="24"/>
        </w:rPr>
        <w:t xml:space="preserve"> для этого явля</w:t>
      </w:r>
      <w:r w:rsidR="002F1CCD">
        <w:rPr>
          <w:sz w:val="24"/>
          <w:szCs w:val="24"/>
        </w:rPr>
        <w:t>ю</w:t>
      </w:r>
      <w:r w:rsidRPr="00011957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011957">
        <w:rPr>
          <w:sz w:val="24"/>
          <w:szCs w:val="24"/>
        </w:rPr>
        <w:t xml:space="preserve">соответствие любому из признаков </w:t>
      </w:r>
      <w:r w:rsidR="00CA6042">
        <w:rPr>
          <w:sz w:val="24"/>
          <w:szCs w:val="24"/>
        </w:rPr>
        <w:t>аффилированности</w:t>
      </w:r>
      <w:r w:rsidRPr="00011957">
        <w:rPr>
          <w:sz w:val="24"/>
          <w:szCs w:val="24"/>
        </w:rPr>
        <w:t>, приводимых в настоящей методике, но с долей зависимости</w:t>
      </w:r>
      <w:r>
        <w:rPr>
          <w:sz w:val="24"/>
          <w:szCs w:val="24"/>
        </w:rPr>
        <w:t xml:space="preserve"> по отношению к зарубежному активу не менее </w:t>
      </w:r>
      <w:r w:rsidRPr="00011957">
        <w:rPr>
          <w:sz w:val="24"/>
          <w:szCs w:val="24"/>
        </w:rPr>
        <w:t>100%</w:t>
      </w:r>
      <w:r>
        <w:rPr>
          <w:sz w:val="24"/>
          <w:szCs w:val="24"/>
        </w:rPr>
        <w:t xml:space="preserve">, </w:t>
      </w:r>
      <w:r w:rsidR="00CA6042">
        <w:rPr>
          <w:sz w:val="24"/>
          <w:szCs w:val="24"/>
        </w:rPr>
        <w:t xml:space="preserve">а также </w:t>
      </w:r>
      <w:r w:rsidRPr="00011957">
        <w:rPr>
          <w:sz w:val="24"/>
          <w:szCs w:val="24"/>
        </w:rPr>
        <w:t>предоставление финансовой отчётности рассматриваем</w:t>
      </w:r>
      <w:r w:rsidR="00CA6042">
        <w:rPr>
          <w:sz w:val="24"/>
          <w:szCs w:val="24"/>
        </w:rPr>
        <w:t xml:space="preserve">ых </w:t>
      </w:r>
      <w:r w:rsidRPr="00011957">
        <w:rPr>
          <w:sz w:val="24"/>
          <w:szCs w:val="24"/>
        </w:rPr>
        <w:t>компани</w:t>
      </w:r>
      <w:r w:rsidR="00CA6042">
        <w:rPr>
          <w:sz w:val="24"/>
          <w:szCs w:val="24"/>
        </w:rPr>
        <w:t>й</w:t>
      </w:r>
      <w:r w:rsidRPr="00011957">
        <w:rPr>
          <w:sz w:val="24"/>
          <w:szCs w:val="24"/>
        </w:rPr>
        <w:t xml:space="preserve">. Для пересчёта выручки </w:t>
      </w:r>
      <w:r w:rsidR="00CA6042">
        <w:rPr>
          <w:sz w:val="24"/>
          <w:szCs w:val="24"/>
        </w:rPr>
        <w:t>таких</w:t>
      </w:r>
      <w:r w:rsidRPr="00011957">
        <w:rPr>
          <w:sz w:val="24"/>
          <w:szCs w:val="24"/>
        </w:rPr>
        <w:t xml:space="preserve"> компаний в рублёвый эквивалент организатор использует средн</w:t>
      </w:r>
      <w:r>
        <w:rPr>
          <w:sz w:val="24"/>
          <w:szCs w:val="24"/>
        </w:rPr>
        <w:t>ий</w:t>
      </w:r>
      <w:r w:rsidRPr="00011957">
        <w:rPr>
          <w:sz w:val="24"/>
          <w:szCs w:val="24"/>
        </w:rPr>
        <w:t xml:space="preserve"> курс </w:t>
      </w:r>
      <w:r w:rsidR="00CA6042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011957">
        <w:rPr>
          <w:sz w:val="24"/>
          <w:szCs w:val="24"/>
        </w:rPr>
        <w:t>валюты за исследуемый период</w:t>
      </w:r>
      <w:r w:rsidR="00587AB2" w:rsidRPr="00587AB2">
        <w:rPr>
          <w:sz w:val="24"/>
          <w:szCs w:val="24"/>
        </w:rPr>
        <w:t xml:space="preserve"> </w:t>
      </w:r>
      <w:r w:rsidR="00587AB2">
        <w:rPr>
          <w:sz w:val="24"/>
          <w:szCs w:val="24"/>
        </w:rPr>
        <w:t xml:space="preserve">по данным </w:t>
      </w:r>
      <w:r w:rsidR="00587AB2" w:rsidRPr="00011957">
        <w:rPr>
          <w:sz w:val="24"/>
          <w:szCs w:val="24"/>
        </w:rPr>
        <w:t>ЦБ РФ</w:t>
      </w:r>
      <w:r w:rsidRPr="00011957">
        <w:rPr>
          <w:sz w:val="24"/>
          <w:szCs w:val="24"/>
        </w:rPr>
        <w:t>.</w:t>
      </w:r>
    </w:p>
    <w:p w14:paraId="65B78802" w14:textId="77777777" w:rsidR="0092038C" w:rsidRDefault="0092038C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7CDACFEE" w14:textId="2DA69113" w:rsidR="00D400DB" w:rsidRDefault="0092038C" w:rsidP="00B2126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21C61">
        <w:rPr>
          <w:sz w:val="24"/>
          <w:szCs w:val="24"/>
        </w:rPr>
        <w:t xml:space="preserve">Предоставляя информацию по группе, </w:t>
      </w:r>
      <w:r w:rsidR="006C46CC">
        <w:rPr>
          <w:sz w:val="24"/>
          <w:szCs w:val="24"/>
        </w:rPr>
        <w:t xml:space="preserve">в анкете </w:t>
      </w:r>
      <w:r w:rsidRPr="00F21C61">
        <w:rPr>
          <w:sz w:val="24"/>
          <w:szCs w:val="24"/>
        </w:rPr>
        <w:t>нужно указать внутригруппо</w:t>
      </w:r>
      <w:r>
        <w:rPr>
          <w:sz w:val="24"/>
          <w:szCs w:val="24"/>
        </w:rPr>
        <w:t>в</w:t>
      </w:r>
      <w:r w:rsidR="006C46CC">
        <w:rPr>
          <w:sz w:val="24"/>
          <w:szCs w:val="24"/>
        </w:rPr>
        <w:t>ую</w:t>
      </w:r>
      <w:r w:rsidRPr="00F21C61">
        <w:rPr>
          <w:sz w:val="24"/>
          <w:szCs w:val="24"/>
        </w:rPr>
        <w:t xml:space="preserve"> </w:t>
      </w:r>
      <w:r>
        <w:rPr>
          <w:sz w:val="24"/>
          <w:szCs w:val="24"/>
        </w:rPr>
        <w:t>выручк</w:t>
      </w:r>
      <w:r w:rsidR="006C46C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587AB2">
        <w:rPr>
          <w:sz w:val="24"/>
          <w:szCs w:val="24"/>
        </w:rPr>
        <w:t xml:space="preserve">(доход от услуг, оказанных между компаниями группы) </w:t>
      </w:r>
      <w:r w:rsidR="003A6B2C" w:rsidRPr="003A6B2C">
        <w:rPr>
          <w:sz w:val="24"/>
          <w:szCs w:val="24"/>
        </w:rPr>
        <w:t>–</w:t>
      </w:r>
      <w:r w:rsidRPr="00F21C61">
        <w:rPr>
          <w:sz w:val="24"/>
          <w:szCs w:val="24"/>
        </w:rPr>
        <w:t xml:space="preserve"> так</w:t>
      </w:r>
      <w:r w:rsidR="006C46CC">
        <w:rPr>
          <w:sz w:val="24"/>
          <w:szCs w:val="24"/>
        </w:rPr>
        <w:t>ая</w:t>
      </w:r>
      <w:r w:rsidRPr="00F21C61">
        <w:rPr>
          <w:sz w:val="24"/>
          <w:szCs w:val="24"/>
        </w:rPr>
        <w:t xml:space="preserve"> </w:t>
      </w:r>
      <w:r w:rsidR="006C46CC">
        <w:rPr>
          <w:sz w:val="24"/>
          <w:szCs w:val="24"/>
        </w:rPr>
        <w:t xml:space="preserve">выручка </w:t>
      </w:r>
      <w:r w:rsidRPr="00F21C61">
        <w:rPr>
          <w:sz w:val="24"/>
          <w:szCs w:val="24"/>
        </w:rPr>
        <w:t>не может учит</w:t>
      </w:r>
      <w:r>
        <w:rPr>
          <w:sz w:val="24"/>
          <w:szCs w:val="24"/>
        </w:rPr>
        <w:t xml:space="preserve">ываться как доход от </w:t>
      </w:r>
      <w:r w:rsidR="00DE117B">
        <w:rPr>
          <w:sz w:val="24"/>
          <w:szCs w:val="24"/>
        </w:rPr>
        <w:t>аутсорсинга учётных функций</w:t>
      </w:r>
      <w:r w:rsidRPr="00F21C61">
        <w:rPr>
          <w:sz w:val="24"/>
          <w:szCs w:val="24"/>
        </w:rPr>
        <w:t>.</w:t>
      </w:r>
      <w:bookmarkStart w:id="2" w:name="_Toc121324930"/>
    </w:p>
    <w:p w14:paraId="6A1851F4" w14:textId="77777777" w:rsidR="0010655B" w:rsidRDefault="0010655B" w:rsidP="00B2126E">
      <w:pPr>
        <w:spacing w:before="100" w:beforeAutospacing="1" w:after="100" w:afterAutospacing="1"/>
        <w:contextualSpacing/>
        <w:jc w:val="both"/>
        <w:rPr>
          <w:sz w:val="32"/>
          <w:szCs w:val="32"/>
        </w:rPr>
      </w:pPr>
    </w:p>
    <w:p w14:paraId="4527C762" w14:textId="2C69D019" w:rsidR="0092038C" w:rsidRPr="0092038C" w:rsidRDefault="0092038C" w:rsidP="00DB264E">
      <w:pPr>
        <w:pStyle w:val="2"/>
        <w:shd w:val="clear" w:color="auto" w:fill="BFBFBF" w:themeFill="background1" w:themeFillShade="BF"/>
        <w:jc w:val="center"/>
        <w:rPr>
          <w:b w:val="0"/>
          <w:sz w:val="32"/>
          <w:szCs w:val="32"/>
        </w:rPr>
      </w:pPr>
      <w:r w:rsidRPr="0092038C">
        <w:rPr>
          <w:b w:val="0"/>
          <w:sz w:val="32"/>
          <w:szCs w:val="32"/>
        </w:rPr>
        <w:lastRenderedPageBreak/>
        <w:t>Определения</w:t>
      </w:r>
      <w:bookmarkEnd w:id="2"/>
    </w:p>
    <w:p w14:paraId="2DA9CC52" w14:textId="77777777" w:rsidR="00B84244" w:rsidRDefault="00F027BE" w:rsidP="00F027B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B07E3">
        <w:rPr>
          <w:b/>
          <w:sz w:val="24"/>
          <w:szCs w:val="24"/>
        </w:rPr>
        <w:t>Аутсорсинг</w:t>
      </w:r>
      <w:r w:rsidRPr="003B07E3">
        <w:rPr>
          <w:sz w:val="24"/>
          <w:szCs w:val="24"/>
        </w:rPr>
        <w:t xml:space="preserve"> – регулярная передача внутренних бизнес-процессов компании-клиента к внешнему специализированному подрядчику.</w:t>
      </w:r>
      <w:r w:rsidR="00B84244">
        <w:rPr>
          <w:sz w:val="24"/>
          <w:szCs w:val="24"/>
        </w:rPr>
        <w:t xml:space="preserve"> </w:t>
      </w:r>
    </w:p>
    <w:p w14:paraId="6D41AADB" w14:textId="77777777" w:rsidR="00B84244" w:rsidRDefault="00B84244" w:rsidP="00F027B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1F4EE313" w14:textId="78EE6911" w:rsidR="00F027BE" w:rsidRPr="003B07E3" w:rsidRDefault="00F027BE" w:rsidP="00F027B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B07E3">
        <w:rPr>
          <w:b/>
          <w:sz w:val="24"/>
          <w:szCs w:val="24"/>
        </w:rPr>
        <w:t>Аутсорсинг уч</w:t>
      </w:r>
      <w:r>
        <w:rPr>
          <w:b/>
          <w:sz w:val="24"/>
          <w:szCs w:val="24"/>
        </w:rPr>
        <w:t>ё</w:t>
      </w:r>
      <w:r w:rsidRPr="003B07E3">
        <w:rPr>
          <w:b/>
          <w:sz w:val="24"/>
          <w:szCs w:val="24"/>
        </w:rPr>
        <w:t>тных функций</w:t>
      </w:r>
      <w:r w:rsidRPr="003B07E3">
        <w:rPr>
          <w:sz w:val="24"/>
          <w:szCs w:val="24"/>
        </w:rPr>
        <w:t xml:space="preserve"> – предпринимательская деятельность, связанная с аутсорсингом бухгалтерского, налогового и кадрового учёта.</w:t>
      </w:r>
    </w:p>
    <w:p w14:paraId="306A09D3" w14:textId="6D5E6696" w:rsidR="00F027BE" w:rsidRDefault="00F027BE" w:rsidP="00F027BE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14:paraId="4B2FA36E" w14:textId="388BCCF5" w:rsid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027BE">
        <w:rPr>
          <w:b/>
          <w:bCs/>
          <w:color w:val="000000"/>
          <w:sz w:val="24"/>
          <w:szCs w:val="24"/>
        </w:rPr>
        <w:t>Аутсорсинг бухгалтерского и налогового учёта</w:t>
      </w:r>
      <w:r w:rsidR="00573BD4" w:rsidRPr="003B07E3">
        <w:rPr>
          <w:sz w:val="24"/>
          <w:szCs w:val="24"/>
        </w:rPr>
        <w:t xml:space="preserve"> –</w:t>
      </w:r>
      <w:r w:rsidR="00573BD4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</w:t>
      </w:r>
      <w:r w:rsidRPr="00F027BE">
        <w:rPr>
          <w:bCs/>
          <w:color w:val="000000"/>
          <w:sz w:val="24"/>
          <w:szCs w:val="24"/>
        </w:rPr>
        <w:t>егулярное ведение бухгалтерского и налогового учёта с подготовкой бухгалтерской и налоговой отчётности (полное бухгалтерское обслуживание), вкл</w:t>
      </w:r>
      <w:r>
        <w:rPr>
          <w:bCs/>
          <w:color w:val="000000"/>
          <w:sz w:val="24"/>
          <w:szCs w:val="24"/>
        </w:rPr>
        <w:t>ючая</w:t>
      </w:r>
      <w:r w:rsidRPr="00F027BE">
        <w:rPr>
          <w:bCs/>
          <w:color w:val="000000"/>
          <w:sz w:val="24"/>
          <w:szCs w:val="24"/>
        </w:rPr>
        <w:t xml:space="preserve"> постановку и (или) восстановление на начальном этапе; частичное ведение бухгалтерского учёта по отдельным объектам и (или) участкам.</w:t>
      </w:r>
    </w:p>
    <w:p w14:paraId="7B00DE1A" w14:textId="77777777" w:rsidR="00F027BE" w:rsidRP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7D9D9F14" w14:textId="6642A7F8" w:rsidR="00F027BE" w:rsidRP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027BE">
        <w:rPr>
          <w:b/>
          <w:bCs/>
          <w:color w:val="000000"/>
          <w:sz w:val="24"/>
          <w:szCs w:val="24"/>
        </w:rPr>
        <w:t>Аутсорсинг расчёта заработной платы</w:t>
      </w:r>
      <w:r w:rsidR="00573BD4" w:rsidRPr="003B07E3">
        <w:rPr>
          <w:sz w:val="24"/>
          <w:szCs w:val="24"/>
        </w:rPr>
        <w:t xml:space="preserve"> –</w:t>
      </w:r>
      <w:r>
        <w:rPr>
          <w:bCs/>
          <w:color w:val="000000"/>
          <w:sz w:val="24"/>
          <w:szCs w:val="24"/>
        </w:rPr>
        <w:t xml:space="preserve"> в</w:t>
      </w:r>
      <w:r w:rsidRPr="00F027BE">
        <w:rPr>
          <w:bCs/>
          <w:color w:val="000000"/>
          <w:sz w:val="24"/>
          <w:szCs w:val="24"/>
        </w:rPr>
        <w:t>едение расчётов с персоналом и физическими лицами; подготовка соответствующих отчётностей.</w:t>
      </w:r>
    </w:p>
    <w:p w14:paraId="40626F40" w14:textId="77777777" w:rsid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22ECC697" w14:textId="2632D48C" w:rsid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027BE">
        <w:rPr>
          <w:b/>
          <w:bCs/>
          <w:color w:val="000000"/>
          <w:sz w:val="24"/>
          <w:szCs w:val="24"/>
        </w:rPr>
        <w:t>Аутсорсинг подготовки бухгалтерской и налоговой отчётности (РСБУ)</w:t>
      </w:r>
      <w:r w:rsidR="00573BD4" w:rsidRPr="003B07E3">
        <w:rPr>
          <w:sz w:val="24"/>
          <w:szCs w:val="24"/>
        </w:rPr>
        <w:t xml:space="preserve"> –</w:t>
      </w:r>
      <w:r>
        <w:rPr>
          <w:bCs/>
          <w:color w:val="000000"/>
          <w:sz w:val="24"/>
          <w:szCs w:val="24"/>
        </w:rPr>
        <w:t xml:space="preserve"> р</w:t>
      </w:r>
      <w:r w:rsidRPr="00F027BE">
        <w:rPr>
          <w:bCs/>
          <w:color w:val="000000"/>
          <w:sz w:val="24"/>
          <w:szCs w:val="24"/>
        </w:rPr>
        <w:t>егулярное составление отчётности на основе реестров учёта клиента (без регулярного ведения бухгалтерского и налогового учёта); сдача отчётности; представление интересов в налоговых и иных государственных контролирующих и исполнительных органах.</w:t>
      </w:r>
    </w:p>
    <w:p w14:paraId="0CDF753C" w14:textId="77777777" w:rsidR="00F027BE" w:rsidRP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708B604D" w14:textId="2C2AFEA4" w:rsid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027BE">
        <w:rPr>
          <w:b/>
          <w:bCs/>
          <w:color w:val="000000"/>
          <w:sz w:val="24"/>
          <w:szCs w:val="24"/>
        </w:rPr>
        <w:t>Аутсорсинг подготовки финансовой отчётности (МСФО)</w:t>
      </w:r>
      <w:r w:rsidR="00573BD4" w:rsidRPr="003B07E3">
        <w:rPr>
          <w:sz w:val="24"/>
          <w:szCs w:val="24"/>
        </w:rPr>
        <w:t xml:space="preserve"> –</w:t>
      </w:r>
      <w:r>
        <w:rPr>
          <w:bCs/>
          <w:color w:val="000000"/>
          <w:sz w:val="24"/>
          <w:szCs w:val="24"/>
        </w:rPr>
        <w:t xml:space="preserve"> р</w:t>
      </w:r>
      <w:r w:rsidRPr="00F027BE">
        <w:rPr>
          <w:bCs/>
          <w:color w:val="000000"/>
          <w:sz w:val="24"/>
          <w:szCs w:val="24"/>
        </w:rPr>
        <w:t>егулярное составление отчётности по МСФО на основе реестров клиента.</w:t>
      </w:r>
    </w:p>
    <w:p w14:paraId="3B873D6B" w14:textId="77777777" w:rsidR="00F027BE" w:rsidRP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2DFA54D2" w14:textId="0877A410" w:rsid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027BE">
        <w:rPr>
          <w:b/>
          <w:bCs/>
          <w:color w:val="000000"/>
          <w:sz w:val="24"/>
          <w:szCs w:val="24"/>
        </w:rPr>
        <w:t>Аутсорсинг кадрового учёта и кадрового делопроизводства</w:t>
      </w:r>
      <w:r w:rsidR="00573BD4" w:rsidRPr="003B07E3">
        <w:rPr>
          <w:sz w:val="24"/>
          <w:szCs w:val="24"/>
        </w:rPr>
        <w:t xml:space="preserve"> –</w:t>
      </w:r>
      <w:r>
        <w:rPr>
          <w:bCs/>
          <w:color w:val="000000"/>
          <w:sz w:val="24"/>
          <w:szCs w:val="24"/>
        </w:rPr>
        <w:t xml:space="preserve"> в</w:t>
      </w:r>
      <w:r w:rsidRPr="00F027BE">
        <w:rPr>
          <w:bCs/>
          <w:color w:val="000000"/>
          <w:sz w:val="24"/>
          <w:szCs w:val="24"/>
        </w:rPr>
        <w:t>едение трудовых договоров и внутреннего нормативного документооборота, связанного с трудовыми отношениями; оформление приёма и увольнения, отпусков и командировок, приказов; подготовка штатного расписания и табеля учёта рабочего времени; документирование дисциплинарных взысканий, материальной ответственности.</w:t>
      </w:r>
    </w:p>
    <w:p w14:paraId="6DA21683" w14:textId="77777777" w:rsidR="00F027BE" w:rsidRPr="00F027BE" w:rsidRDefault="00F027BE" w:rsidP="00F027BE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33784629" w14:textId="77777777" w:rsidR="002F1CCD" w:rsidRDefault="00F027BE" w:rsidP="0092038C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F027BE">
        <w:rPr>
          <w:b/>
          <w:bCs/>
          <w:color w:val="000000"/>
          <w:sz w:val="24"/>
          <w:szCs w:val="24"/>
        </w:rPr>
        <w:t>Другие направления аутсорсинга учёта:</w:t>
      </w:r>
      <w:r>
        <w:rPr>
          <w:bCs/>
          <w:color w:val="000000"/>
          <w:sz w:val="24"/>
          <w:szCs w:val="24"/>
        </w:rPr>
        <w:t xml:space="preserve"> </w:t>
      </w:r>
    </w:p>
    <w:p w14:paraId="325334CC" w14:textId="70DD9C0D" w:rsidR="002F1CCD" w:rsidRDefault="002F1CCD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117B" w:rsidRPr="001779C8">
        <w:rPr>
          <w:bCs/>
          <w:sz w:val="24"/>
          <w:szCs w:val="24"/>
        </w:rPr>
        <w:t xml:space="preserve">одготовка </w:t>
      </w:r>
      <w:bookmarkStart w:id="3" w:name="_GoBack"/>
      <w:bookmarkEnd w:id="3"/>
      <w:r w:rsidR="00DE117B" w:rsidRPr="001779C8">
        <w:rPr>
          <w:bCs/>
          <w:sz w:val="24"/>
          <w:szCs w:val="24"/>
        </w:rPr>
        <w:t>отчётностей (государственная статистическая</w:t>
      </w:r>
      <w:r w:rsidR="00DE117B">
        <w:rPr>
          <w:bCs/>
          <w:sz w:val="24"/>
          <w:szCs w:val="24"/>
        </w:rPr>
        <w:t>,</w:t>
      </w:r>
      <w:r w:rsidR="00DE117B" w:rsidRPr="001779C8">
        <w:rPr>
          <w:bCs/>
          <w:sz w:val="24"/>
          <w:szCs w:val="24"/>
        </w:rPr>
        <w:t xml:space="preserve"> специализированная управленческая для руководства компании</w:t>
      </w:r>
      <w:r w:rsidR="00DE117B">
        <w:rPr>
          <w:bCs/>
          <w:sz w:val="24"/>
          <w:szCs w:val="24"/>
        </w:rPr>
        <w:t>,</w:t>
      </w:r>
      <w:r w:rsidR="00DE117B" w:rsidRPr="001779C8">
        <w:rPr>
          <w:bCs/>
          <w:sz w:val="24"/>
          <w:szCs w:val="24"/>
        </w:rPr>
        <w:t xml:space="preserve"> специализированная ведомственная при наличии ведомственного контроля по разным основаниям)</w:t>
      </w:r>
      <w:r w:rsidR="00DE117B">
        <w:rPr>
          <w:bCs/>
          <w:sz w:val="24"/>
          <w:szCs w:val="24"/>
        </w:rPr>
        <w:t xml:space="preserve">. </w:t>
      </w:r>
    </w:p>
    <w:p w14:paraId="26CAC362" w14:textId="77777777" w:rsidR="002F1CCD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1779C8">
        <w:rPr>
          <w:bCs/>
          <w:sz w:val="24"/>
          <w:szCs w:val="24"/>
        </w:rPr>
        <w:t xml:space="preserve">опровождение проверок в различных государственных органах; сопровождение </w:t>
      </w:r>
      <w:r>
        <w:rPr>
          <w:bCs/>
          <w:sz w:val="24"/>
          <w:szCs w:val="24"/>
        </w:rPr>
        <w:t xml:space="preserve">и представительство в </w:t>
      </w:r>
      <w:r w:rsidRPr="001779C8">
        <w:rPr>
          <w:bCs/>
          <w:sz w:val="24"/>
          <w:szCs w:val="24"/>
        </w:rPr>
        <w:t>судах</w:t>
      </w:r>
      <w:r>
        <w:rPr>
          <w:bCs/>
          <w:sz w:val="24"/>
          <w:szCs w:val="24"/>
        </w:rPr>
        <w:t xml:space="preserve">, а также перед государственными органами. </w:t>
      </w:r>
    </w:p>
    <w:p w14:paraId="2E65234F" w14:textId="77777777" w:rsidR="002F1CCD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Услуги горячей линии и технической поддержки. </w:t>
      </w:r>
    </w:p>
    <w:p w14:paraId="534221C0" w14:textId="77777777" w:rsidR="002F1CCD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AD3B1F">
        <w:rPr>
          <w:bCs/>
          <w:sz w:val="24"/>
          <w:szCs w:val="24"/>
        </w:rPr>
        <w:t>Услуги и работы</w:t>
      </w:r>
      <w:r>
        <w:rPr>
          <w:bCs/>
          <w:sz w:val="24"/>
          <w:szCs w:val="24"/>
        </w:rPr>
        <w:t>,</w:t>
      </w:r>
      <w:r w:rsidRPr="00AD3B1F">
        <w:rPr>
          <w:bCs/>
          <w:sz w:val="24"/>
          <w:szCs w:val="24"/>
        </w:rPr>
        <w:t xml:space="preserve"> сопутствующие аутсорсингу учётных функций: SaaS, Setup, Call-Center, Logistics, BackOffice</w:t>
      </w:r>
      <w:r>
        <w:rPr>
          <w:bCs/>
          <w:sz w:val="24"/>
          <w:szCs w:val="24"/>
        </w:rPr>
        <w:t>; п</w:t>
      </w:r>
      <w:r w:rsidRPr="00AD3B1F">
        <w:rPr>
          <w:bCs/>
          <w:sz w:val="24"/>
          <w:szCs w:val="24"/>
        </w:rPr>
        <w:t>оддержка ERP-систем SAP и 1С, других кадровых систем, бухгалтерских и зарплатных приложений</w:t>
      </w:r>
      <w:r>
        <w:rPr>
          <w:bCs/>
          <w:sz w:val="24"/>
          <w:szCs w:val="24"/>
        </w:rPr>
        <w:t>; в</w:t>
      </w:r>
      <w:r w:rsidRPr="00AD3B1F">
        <w:rPr>
          <w:bCs/>
          <w:sz w:val="24"/>
          <w:szCs w:val="24"/>
        </w:rPr>
        <w:t>недрение и сопровождение учётных систем, разработка и поддержка баз данных, предоставление ПО и IT-инфраструктуры в аренду.</w:t>
      </w:r>
      <w:r>
        <w:rPr>
          <w:bCs/>
          <w:sz w:val="24"/>
          <w:szCs w:val="24"/>
        </w:rPr>
        <w:t xml:space="preserve"> </w:t>
      </w:r>
    </w:p>
    <w:p w14:paraId="79D6FF7C" w14:textId="77777777" w:rsidR="002F1CCD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AD3B1F">
        <w:rPr>
          <w:bCs/>
          <w:sz w:val="24"/>
          <w:szCs w:val="24"/>
        </w:rPr>
        <w:t xml:space="preserve">Аутсорсинг функций бэк-офиса (процессинг коммерческих договоров, взаимодействие с поставщиками). </w:t>
      </w:r>
    </w:p>
    <w:p w14:paraId="4BEF734A" w14:textId="77777777" w:rsidR="002F1CCD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AD3B1F">
        <w:rPr>
          <w:bCs/>
          <w:sz w:val="24"/>
          <w:szCs w:val="24"/>
        </w:rPr>
        <w:t xml:space="preserve">Подбор персонала в рамках договоров аутсорсинга кадрового учёта. </w:t>
      </w:r>
    </w:p>
    <w:p w14:paraId="3323F43C" w14:textId="77777777" w:rsidR="002F1CCD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AD3B1F">
        <w:rPr>
          <w:bCs/>
          <w:sz w:val="24"/>
          <w:szCs w:val="24"/>
        </w:rPr>
        <w:t>Подготовка финансовой отчётности по US GAAP, участие в инвентаризации.</w:t>
      </w:r>
      <w:r>
        <w:rPr>
          <w:bCs/>
          <w:sz w:val="24"/>
          <w:szCs w:val="24"/>
        </w:rPr>
        <w:t xml:space="preserve"> </w:t>
      </w:r>
    </w:p>
    <w:p w14:paraId="28873296" w14:textId="3C26AF68" w:rsidR="00D400DB" w:rsidRDefault="00DE117B" w:rsidP="0092038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1779C8">
        <w:rPr>
          <w:bCs/>
          <w:sz w:val="24"/>
          <w:szCs w:val="24"/>
        </w:rPr>
        <w:t>слуги поддержки в рамках регистрации и ликвидации компаний, находящихся на аутсорсинг-обслуживании</w:t>
      </w:r>
      <w:r>
        <w:rPr>
          <w:bCs/>
          <w:sz w:val="24"/>
          <w:szCs w:val="24"/>
        </w:rPr>
        <w:t xml:space="preserve">, </w:t>
      </w:r>
      <w:r w:rsidRPr="001779C8">
        <w:rPr>
          <w:bCs/>
          <w:sz w:val="24"/>
          <w:szCs w:val="24"/>
        </w:rPr>
        <w:t>регистрация организационных изменений.</w:t>
      </w:r>
    </w:p>
    <w:p w14:paraId="462E9D06" w14:textId="77777777" w:rsidR="00DE117B" w:rsidRDefault="00DE117B" w:rsidP="0092038C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7087C95E" w14:textId="77777777" w:rsidR="00AF1DE6" w:rsidRDefault="00AF1DE6" w:rsidP="0092038C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7ACBF860" w14:textId="79397B73" w:rsidR="0092038C" w:rsidRDefault="00587AB2" w:rsidP="0092038C">
      <w:pPr>
        <w:spacing w:after="200"/>
        <w:contextualSpacing/>
        <w:jc w:val="both"/>
        <w:rPr>
          <w:sz w:val="24"/>
          <w:szCs w:val="24"/>
        </w:rPr>
      </w:pPr>
      <w:r w:rsidRPr="00F21C61">
        <w:rPr>
          <w:sz w:val="24"/>
          <w:szCs w:val="24"/>
        </w:rPr>
        <w:t xml:space="preserve">По вопросам предоставления информации, пожалуйста, обращайтесь по электронной почте </w:t>
      </w:r>
      <w:hyperlink r:id="rId15" w:history="1">
        <w:r w:rsidRPr="00F21C61">
          <w:rPr>
            <w:color w:val="0000FF"/>
            <w:sz w:val="24"/>
            <w:szCs w:val="24"/>
            <w:u w:val="single"/>
            <w:lang w:val="en-US"/>
          </w:rPr>
          <w:t>consulting</w:t>
        </w:r>
        <w:r w:rsidRPr="00F21C61">
          <w:rPr>
            <w:color w:val="0000FF"/>
            <w:sz w:val="24"/>
            <w:szCs w:val="24"/>
            <w:u w:val="single"/>
          </w:rPr>
          <w:t>@raex-</w:t>
        </w:r>
        <w:r w:rsidRPr="00F21C61">
          <w:rPr>
            <w:color w:val="0000FF"/>
            <w:sz w:val="24"/>
            <w:szCs w:val="24"/>
            <w:u w:val="single"/>
            <w:lang w:val="en-US"/>
          </w:rPr>
          <w:t>a</w:t>
        </w:r>
        <w:r w:rsidRPr="00F21C61">
          <w:rPr>
            <w:color w:val="0000FF"/>
            <w:sz w:val="24"/>
            <w:szCs w:val="24"/>
            <w:u w:val="single"/>
          </w:rPr>
          <w:t>.ru</w:t>
        </w:r>
      </w:hyperlink>
      <w:r w:rsidRPr="00F21C61">
        <w:rPr>
          <w:sz w:val="24"/>
          <w:szCs w:val="24"/>
        </w:rPr>
        <w:t xml:space="preserve"> или по телефону </w:t>
      </w:r>
      <w:r w:rsidR="00914FC8">
        <w:rPr>
          <w:sz w:val="24"/>
          <w:szCs w:val="24"/>
        </w:rPr>
        <w:t xml:space="preserve">+7 </w:t>
      </w:r>
      <w:r w:rsidRPr="00F21C61">
        <w:rPr>
          <w:sz w:val="24"/>
          <w:szCs w:val="24"/>
        </w:rPr>
        <w:t>(495) 617-07-77 (доб. 1668).</w:t>
      </w:r>
    </w:p>
    <w:p w14:paraId="675E6253" w14:textId="77777777" w:rsidR="00CE4C68" w:rsidRDefault="00CE4C68" w:rsidP="0092038C">
      <w:pPr>
        <w:tabs>
          <w:tab w:val="left" w:pos="2310"/>
        </w:tabs>
        <w:rPr>
          <w:bCs/>
          <w:sz w:val="24"/>
          <w:szCs w:val="24"/>
        </w:rPr>
      </w:pPr>
    </w:p>
    <w:p w14:paraId="4EEAF929" w14:textId="5FF57A36" w:rsidR="006C46CC" w:rsidRPr="00C405DD" w:rsidRDefault="0092038C" w:rsidP="0092038C">
      <w:pPr>
        <w:tabs>
          <w:tab w:val="left" w:pos="2310"/>
        </w:tabs>
        <w:rPr>
          <w:sz w:val="28"/>
          <w:szCs w:val="28"/>
        </w:rPr>
      </w:pPr>
      <w:r w:rsidRPr="00733BF1">
        <w:rPr>
          <w:bCs/>
          <w:sz w:val="24"/>
          <w:szCs w:val="24"/>
        </w:rPr>
        <w:t>Благодарим вас за сотрудничество!</w:t>
      </w:r>
    </w:p>
    <w:sectPr w:rsidR="006C46CC" w:rsidRPr="00C405DD" w:rsidSect="001F18EA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1134" w:bottom="709" w:left="1701" w:header="283" w:footer="283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71571" w16cid:durableId="277CFC25"/>
  <w16cid:commentId w16cid:paraId="6A8E7DA3" w16cid:durableId="277D0568"/>
  <w16cid:commentId w16cid:paraId="055D7845" w16cid:durableId="277CFD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080E" w14:textId="77777777" w:rsidR="00E91854" w:rsidRDefault="00E91854">
      <w:r>
        <w:separator/>
      </w:r>
    </w:p>
  </w:endnote>
  <w:endnote w:type="continuationSeparator" w:id="0">
    <w:p w14:paraId="38B86372" w14:textId="77777777" w:rsidR="00E91854" w:rsidRDefault="00E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22063"/>
      <w:docPartObj>
        <w:docPartGallery w:val="Page Numbers (Bottom of Page)"/>
        <w:docPartUnique/>
      </w:docPartObj>
    </w:sdtPr>
    <w:sdtEndPr/>
    <w:sdtContent>
      <w:p w14:paraId="4930F75D" w14:textId="019FB3A2" w:rsidR="001F18EA" w:rsidRDefault="001F1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1B">
          <w:rPr>
            <w:noProof/>
          </w:rPr>
          <w:t>2</w:t>
        </w:r>
        <w:r>
          <w:fldChar w:fldCharType="end"/>
        </w:r>
      </w:p>
    </w:sdtContent>
  </w:sdt>
  <w:p w14:paraId="6B82A812" w14:textId="07BC3F03" w:rsidR="00A547A6" w:rsidRDefault="00A547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C577" w14:textId="2E2109BB" w:rsidR="001F18EA" w:rsidRDefault="001F18EA">
    <w:pPr>
      <w:pStyle w:val="a7"/>
      <w:jc w:val="center"/>
    </w:pPr>
  </w:p>
  <w:p w14:paraId="6B82A814" w14:textId="54AB436E" w:rsidR="00A547A6" w:rsidRDefault="00A547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16EC" w14:textId="77777777" w:rsidR="00E91854" w:rsidRDefault="00E91854">
      <w:r>
        <w:separator/>
      </w:r>
    </w:p>
  </w:footnote>
  <w:footnote w:type="continuationSeparator" w:id="0">
    <w:p w14:paraId="25CD067E" w14:textId="77777777" w:rsidR="00E91854" w:rsidRDefault="00E9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A810" w14:textId="77777777" w:rsidR="00A547A6" w:rsidRDefault="006F5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993" w:firstLine="993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B82A815" wp14:editId="6B82A816">
          <wp:extent cx="8020685" cy="25146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685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2A811" w14:textId="77777777" w:rsidR="00A547A6" w:rsidRDefault="00A547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A813" w14:textId="3FF9999B" w:rsidR="00A547A6" w:rsidRDefault="00114007" w:rsidP="00114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586AA45" wp14:editId="5C7F4F41">
          <wp:extent cx="5760085" cy="180587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80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72D623" wp14:editId="059F9626">
          <wp:extent cx="1973872" cy="11734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872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21E7"/>
    <w:multiLevelType w:val="hybridMultilevel"/>
    <w:tmpl w:val="81EE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5733"/>
    <w:multiLevelType w:val="hybridMultilevel"/>
    <w:tmpl w:val="FD64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4B9"/>
    <w:multiLevelType w:val="hybridMultilevel"/>
    <w:tmpl w:val="A58C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5DBC"/>
    <w:multiLevelType w:val="hybridMultilevel"/>
    <w:tmpl w:val="9D7A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F3999"/>
    <w:multiLevelType w:val="hybridMultilevel"/>
    <w:tmpl w:val="DE22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CB5"/>
    <w:multiLevelType w:val="hybridMultilevel"/>
    <w:tmpl w:val="5630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46EB"/>
    <w:multiLevelType w:val="hybridMultilevel"/>
    <w:tmpl w:val="BA38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6"/>
    <w:rsid w:val="00014DCC"/>
    <w:rsid w:val="00021D34"/>
    <w:rsid w:val="00034714"/>
    <w:rsid w:val="00034F5C"/>
    <w:rsid w:val="00086903"/>
    <w:rsid w:val="000C37EC"/>
    <w:rsid w:val="000F2325"/>
    <w:rsid w:val="0010655B"/>
    <w:rsid w:val="00114007"/>
    <w:rsid w:val="00114DC0"/>
    <w:rsid w:val="00130CA3"/>
    <w:rsid w:val="001728D3"/>
    <w:rsid w:val="001F18EA"/>
    <w:rsid w:val="0020310E"/>
    <w:rsid w:val="002036BA"/>
    <w:rsid w:val="0021508E"/>
    <w:rsid w:val="00280BD7"/>
    <w:rsid w:val="00287C0D"/>
    <w:rsid w:val="002D2577"/>
    <w:rsid w:val="002D3064"/>
    <w:rsid w:val="002D57FB"/>
    <w:rsid w:val="002F1CCD"/>
    <w:rsid w:val="002F7A77"/>
    <w:rsid w:val="00303871"/>
    <w:rsid w:val="0030474A"/>
    <w:rsid w:val="00311784"/>
    <w:rsid w:val="003236D9"/>
    <w:rsid w:val="00374ED5"/>
    <w:rsid w:val="003A6B2C"/>
    <w:rsid w:val="003C33AB"/>
    <w:rsid w:val="003C683F"/>
    <w:rsid w:val="003E175F"/>
    <w:rsid w:val="00455609"/>
    <w:rsid w:val="00463833"/>
    <w:rsid w:val="004A6DA9"/>
    <w:rsid w:val="004E0D6B"/>
    <w:rsid w:val="004F0BC7"/>
    <w:rsid w:val="00504697"/>
    <w:rsid w:val="00534444"/>
    <w:rsid w:val="00565116"/>
    <w:rsid w:val="00573BD4"/>
    <w:rsid w:val="00587AB2"/>
    <w:rsid w:val="005A267E"/>
    <w:rsid w:val="005B1A99"/>
    <w:rsid w:val="005B2DD5"/>
    <w:rsid w:val="005C25A8"/>
    <w:rsid w:val="005C39E2"/>
    <w:rsid w:val="00623CDE"/>
    <w:rsid w:val="006359E5"/>
    <w:rsid w:val="006469DF"/>
    <w:rsid w:val="00654EF9"/>
    <w:rsid w:val="00672379"/>
    <w:rsid w:val="0068386C"/>
    <w:rsid w:val="006C46CC"/>
    <w:rsid w:val="006D2153"/>
    <w:rsid w:val="006F5F54"/>
    <w:rsid w:val="006F791B"/>
    <w:rsid w:val="00716525"/>
    <w:rsid w:val="00716B16"/>
    <w:rsid w:val="0073032E"/>
    <w:rsid w:val="00733BF1"/>
    <w:rsid w:val="00736695"/>
    <w:rsid w:val="0076270D"/>
    <w:rsid w:val="00781CDC"/>
    <w:rsid w:val="00781DD3"/>
    <w:rsid w:val="007A4A63"/>
    <w:rsid w:val="007F049C"/>
    <w:rsid w:val="007F7C3E"/>
    <w:rsid w:val="00816B2C"/>
    <w:rsid w:val="0083535E"/>
    <w:rsid w:val="00840878"/>
    <w:rsid w:val="0084229D"/>
    <w:rsid w:val="00844E5B"/>
    <w:rsid w:val="0087092D"/>
    <w:rsid w:val="0088166A"/>
    <w:rsid w:val="00894FBF"/>
    <w:rsid w:val="008974B2"/>
    <w:rsid w:val="008A09BB"/>
    <w:rsid w:val="008C09F4"/>
    <w:rsid w:val="009126FD"/>
    <w:rsid w:val="00914FC8"/>
    <w:rsid w:val="0092038C"/>
    <w:rsid w:val="0092750A"/>
    <w:rsid w:val="00935B0F"/>
    <w:rsid w:val="00963853"/>
    <w:rsid w:val="00965D03"/>
    <w:rsid w:val="00976F20"/>
    <w:rsid w:val="009D531E"/>
    <w:rsid w:val="009F71AA"/>
    <w:rsid w:val="00A0164C"/>
    <w:rsid w:val="00A11AE0"/>
    <w:rsid w:val="00A276A7"/>
    <w:rsid w:val="00A407F1"/>
    <w:rsid w:val="00A547A6"/>
    <w:rsid w:val="00A62C3C"/>
    <w:rsid w:val="00A90032"/>
    <w:rsid w:val="00A94810"/>
    <w:rsid w:val="00AA6E99"/>
    <w:rsid w:val="00AC1393"/>
    <w:rsid w:val="00AF1DE6"/>
    <w:rsid w:val="00AF7DA9"/>
    <w:rsid w:val="00B2126E"/>
    <w:rsid w:val="00B35A0A"/>
    <w:rsid w:val="00B63A0C"/>
    <w:rsid w:val="00B73ACD"/>
    <w:rsid w:val="00B82212"/>
    <w:rsid w:val="00B84244"/>
    <w:rsid w:val="00B917F8"/>
    <w:rsid w:val="00BB0D0B"/>
    <w:rsid w:val="00C07EA6"/>
    <w:rsid w:val="00C22B66"/>
    <w:rsid w:val="00C2505C"/>
    <w:rsid w:val="00C3340E"/>
    <w:rsid w:val="00C405DD"/>
    <w:rsid w:val="00C43A06"/>
    <w:rsid w:val="00C65CE8"/>
    <w:rsid w:val="00C7219B"/>
    <w:rsid w:val="00C8548D"/>
    <w:rsid w:val="00C963B5"/>
    <w:rsid w:val="00CA6042"/>
    <w:rsid w:val="00CB1B3D"/>
    <w:rsid w:val="00CC0697"/>
    <w:rsid w:val="00CE4C68"/>
    <w:rsid w:val="00D10AFE"/>
    <w:rsid w:val="00D16456"/>
    <w:rsid w:val="00D2155A"/>
    <w:rsid w:val="00D400DB"/>
    <w:rsid w:val="00D41321"/>
    <w:rsid w:val="00D4788E"/>
    <w:rsid w:val="00D53B98"/>
    <w:rsid w:val="00D54246"/>
    <w:rsid w:val="00D6058C"/>
    <w:rsid w:val="00DB264E"/>
    <w:rsid w:val="00DC3D3B"/>
    <w:rsid w:val="00DE0F98"/>
    <w:rsid w:val="00DE117B"/>
    <w:rsid w:val="00E178B1"/>
    <w:rsid w:val="00E358E2"/>
    <w:rsid w:val="00E645D3"/>
    <w:rsid w:val="00E67CE9"/>
    <w:rsid w:val="00E91854"/>
    <w:rsid w:val="00EB6688"/>
    <w:rsid w:val="00F027BE"/>
    <w:rsid w:val="00F13975"/>
    <w:rsid w:val="00F351EE"/>
    <w:rsid w:val="00F4014C"/>
    <w:rsid w:val="00F45EA6"/>
    <w:rsid w:val="00F54C35"/>
    <w:rsid w:val="00F75141"/>
    <w:rsid w:val="00F94AA0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2A780"/>
  <w15:docId w15:val="{346A7145-594F-494C-89CB-B144C07A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C405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405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C405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F5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F54"/>
  </w:style>
  <w:style w:type="paragraph" w:styleId="a7">
    <w:name w:val="footer"/>
    <w:basedOn w:val="a"/>
    <w:link w:val="a8"/>
    <w:uiPriority w:val="99"/>
    <w:unhideWhenUsed/>
    <w:rsid w:val="006F5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F54"/>
  </w:style>
  <w:style w:type="character" w:styleId="a9">
    <w:name w:val="Hyperlink"/>
    <w:basedOn w:val="a0"/>
    <w:uiPriority w:val="99"/>
    <w:unhideWhenUsed/>
    <w:rsid w:val="00A407F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6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22B66"/>
  </w:style>
  <w:style w:type="character" w:customStyle="1" w:styleId="ad">
    <w:name w:val="Текст сноски Знак"/>
    <w:basedOn w:val="a0"/>
    <w:link w:val="ac"/>
    <w:uiPriority w:val="99"/>
    <w:semiHidden/>
    <w:rsid w:val="00C22B66"/>
  </w:style>
  <w:style w:type="character" w:styleId="ae">
    <w:name w:val="footnote reference"/>
    <w:uiPriority w:val="99"/>
    <w:semiHidden/>
    <w:unhideWhenUsed/>
    <w:rsid w:val="00C22B66"/>
    <w:rPr>
      <w:vertAlign w:val="superscript"/>
    </w:rPr>
  </w:style>
  <w:style w:type="paragraph" w:styleId="af">
    <w:name w:val="List Paragraph"/>
    <w:basedOn w:val="a"/>
    <w:uiPriority w:val="34"/>
    <w:qFormat/>
    <w:rsid w:val="00014DCC"/>
    <w:pPr>
      <w:ind w:left="720"/>
      <w:contextualSpacing/>
    </w:pPr>
  </w:style>
  <w:style w:type="paragraph" w:styleId="af0">
    <w:name w:val="Revision"/>
    <w:hidden/>
    <w:uiPriority w:val="99"/>
    <w:semiHidden/>
    <w:rsid w:val="00D53B98"/>
  </w:style>
  <w:style w:type="table" w:styleId="af1">
    <w:name w:val="Table Grid"/>
    <w:basedOn w:val="a1"/>
    <w:uiPriority w:val="39"/>
    <w:rsid w:val="0073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C40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405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C405D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rsid w:val="00C405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B35A0A"/>
    <w:pPr>
      <w:tabs>
        <w:tab w:val="right" w:leader="dot" w:pos="9061"/>
      </w:tabs>
      <w:spacing w:after="100"/>
    </w:pPr>
    <w:rPr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1F18EA"/>
    <w:pPr>
      <w:spacing w:after="100"/>
      <w:ind w:left="200"/>
    </w:pPr>
  </w:style>
  <w:style w:type="paragraph" w:styleId="30">
    <w:name w:val="toc 3"/>
    <w:basedOn w:val="a"/>
    <w:next w:val="a"/>
    <w:autoRedefine/>
    <w:uiPriority w:val="39"/>
    <w:unhideWhenUsed/>
    <w:rsid w:val="001F18EA"/>
    <w:pPr>
      <w:spacing w:after="100"/>
      <w:ind w:left="400"/>
    </w:pPr>
  </w:style>
  <w:style w:type="character" w:styleId="af3">
    <w:name w:val="FollowedHyperlink"/>
    <w:basedOn w:val="a0"/>
    <w:uiPriority w:val="99"/>
    <w:semiHidden/>
    <w:unhideWhenUsed/>
    <w:rsid w:val="00840878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F04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F049C"/>
  </w:style>
  <w:style w:type="character" w:customStyle="1" w:styleId="af6">
    <w:name w:val="Текст примечания Знак"/>
    <w:basedOn w:val="a0"/>
    <w:link w:val="af5"/>
    <w:uiPriority w:val="99"/>
    <w:semiHidden/>
    <w:rsid w:val="007F049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F04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F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-rr.com/pro/b2b/outsoursing/reports_according_IFRS_rating/2022/analytics/outsourcing2022/" TargetMode="External"/><Relationship Id="rId13" Type="http://schemas.openxmlformats.org/officeDocument/2006/relationships/hyperlink" Target="mailto:consulting@raex-a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ex-rr.com/pr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ting@raex-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sulting@raex-a.ru" TargetMode="External"/><Relationship Id="rId10" Type="http://schemas.openxmlformats.org/officeDocument/2006/relationships/hyperlink" Target="https://bo.nalog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park-interfax.ru/" TargetMode="External"/><Relationship Id="rId14" Type="http://schemas.openxmlformats.org/officeDocument/2006/relationships/hyperlink" Target="http://www.raex-rr.com/pro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0D80-BA39-4BA7-9295-9A0F3615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 Solovey</dc:creator>
  <cp:lastModifiedBy>Саблинская Ирина</cp:lastModifiedBy>
  <cp:revision>13</cp:revision>
  <cp:lastPrinted>2019-12-20T13:44:00Z</cp:lastPrinted>
  <dcterms:created xsi:type="dcterms:W3CDTF">2023-01-20T11:27:00Z</dcterms:created>
  <dcterms:modified xsi:type="dcterms:W3CDTF">2023-01-26T11:14:00Z</dcterms:modified>
</cp:coreProperties>
</file>